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BBA9F" w14:textId="7F4A9C67" w:rsidR="0011727B" w:rsidRPr="00E7492D" w:rsidRDefault="0011727B" w:rsidP="0011727B">
      <w:pPr>
        <w:spacing w:line="281" w:lineRule="auto"/>
        <w:jc w:val="both"/>
        <w:rPr>
          <w:rFonts w:ascii="Arial" w:hAnsi="Arial" w:cs="Arial"/>
          <w:i/>
          <w:sz w:val="18"/>
          <w:szCs w:val="18"/>
          <w:lang w:val="en-US"/>
        </w:rPr>
      </w:pPr>
      <w:r w:rsidRPr="00E7492D">
        <w:rPr>
          <w:rFonts w:ascii="Arial" w:hAnsi="Arial" w:cs="Arial"/>
          <w:i/>
          <w:sz w:val="18"/>
          <w:szCs w:val="18"/>
          <w:lang w:val="en-US"/>
        </w:rPr>
        <w:t xml:space="preserve">DMG MORI </w:t>
      </w:r>
      <w:r w:rsidR="004535D3" w:rsidRPr="00E7492D">
        <w:rPr>
          <w:rFonts w:ascii="Arial" w:hAnsi="Arial" w:cs="Arial"/>
          <w:i/>
          <w:sz w:val="18"/>
          <w:szCs w:val="18"/>
          <w:lang w:val="en-US"/>
        </w:rPr>
        <w:t>Open House</w:t>
      </w:r>
      <w:r w:rsidRPr="00E7492D">
        <w:rPr>
          <w:rFonts w:ascii="Arial" w:hAnsi="Arial" w:cs="Arial"/>
          <w:i/>
          <w:sz w:val="18"/>
          <w:szCs w:val="18"/>
          <w:lang w:val="en-US"/>
        </w:rPr>
        <w:t xml:space="preserve"> </w:t>
      </w:r>
      <w:proofErr w:type="spellStart"/>
      <w:r w:rsidRPr="00E7492D">
        <w:rPr>
          <w:rFonts w:ascii="Arial" w:hAnsi="Arial" w:cs="Arial"/>
          <w:i/>
          <w:sz w:val="18"/>
          <w:szCs w:val="18"/>
          <w:lang w:val="en-US"/>
        </w:rPr>
        <w:t>Pfronten</w:t>
      </w:r>
      <w:proofErr w:type="spellEnd"/>
    </w:p>
    <w:p w14:paraId="52A33AA8" w14:textId="13F53131" w:rsidR="0011727B" w:rsidRPr="00E7492D" w:rsidRDefault="008C7D24" w:rsidP="0011727B">
      <w:pPr>
        <w:spacing w:line="281" w:lineRule="auto"/>
        <w:jc w:val="both"/>
        <w:rPr>
          <w:rFonts w:ascii="Arial" w:hAnsi="Arial" w:cs="Arial"/>
          <w:b/>
          <w:sz w:val="24"/>
          <w:lang w:val="en-US"/>
        </w:rPr>
      </w:pPr>
      <w:r w:rsidRPr="00E7492D">
        <w:rPr>
          <w:rFonts w:ascii="Arial" w:hAnsi="Arial" w:cs="Arial"/>
          <w:b/>
          <w:sz w:val="24"/>
          <w:lang w:val="en-US"/>
        </w:rPr>
        <w:t xml:space="preserve">Process integration, </w:t>
      </w:r>
      <w:r w:rsidR="00FE3B19" w:rsidRPr="00E7492D">
        <w:rPr>
          <w:rFonts w:ascii="Arial" w:hAnsi="Arial" w:cs="Arial"/>
          <w:b/>
          <w:sz w:val="24"/>
          <w:lang w:val="en-US"/>
        </w:rPr>
        <w:t xml:space="preserve">Automation, </w:t>
      </w:r>
      <w:r w:rsidRPr="00E7492D">
        <w:rPr>
          <w:rFonts w:ascii="Arial" w:hAnsi="Arial" w:cs="Arial"/>
          <w:b/>
          <w:sz w:val="24"/>
          <w:lang w:val="en-US"/>
        </w:rPr>
        <w:t>Di</w:t>
      </w:r>
      <w:r w:rsidR="00FE3B19" w:rsidRPr="00E7492D">
        <w:rPr>
          <w:rFonts w:ascii="Arial" w:hAnsi="Arial" w:cs="Arial"/>
          <w:b/>
          <w:sz w:val="24"/>
          <w:lang w:val="en-US"/>
        </w:rPr>
        <w:t>gitalization and</w:t>
      </w:r>
      <w:r w:rsidRPr="00E7492D">
        <w:rPr>
          <w:rFonts w:ascii="Arial" w:hAnsi="Arial" w:cs="Arial"/>
          <w:b/>
          <w:sz w:val="24"/>
          <w:lang w:val="en-US"/>
        </w:rPr>
        <w:t xml:space="preserve"> Sustainability</w:t>
      </w:r>
      <w:r w:rsidR="00FE3B19" w:rsidRPr="00E7492D">
        <w:rPr>
          <w:rFonts w:ascii="Arial" w:hAnsi="Arial" w:cs="Arial"/>
          <w:b/>
          <w:sz w:val="24"/>
          <w:lang w:val="en-US"/>
        </w:rPr>
        <w:t>: DMG MORI is shaping the future of machine tool manufacturing with holistic manufacturing solutions.</w:t>
      </w:r>
    </w:p>
    <w:p w14:paraId="5B0E1127" w14:textId="77777777" w:rsidR="0011727B" w:rsidRPr="00E7492D" w:rsidRDefault="0011727B" w:rsidP="0011727B">
      <w:pPr>
        <w:spacing w:line="281" w:lineRule="auto"/>
        <w:jc w:val="both"/>
        <w:rPr>
          <w:rFonts w:ascii="Arial" w:hAnsi="Arial" w:cs="Arial"/>
          <w:lang w:val="en-US"/>
        </w:rPr>
      </w:pPr>
    </w:p>
    <w:p w14:paraId="45B4E201" w14:textId="6DE1D919" w:rsidR="0011727B" w:rsidRPr="00E7492D" w:rsidRDefault="0011727B" w:rsidP="0011727B">
      <w:pPr>
        <w:spacing w:line="280" w:lineRule="auto"/>
        <w:jc w:val="both"/>
        <w:rPr>
          <w:rFonts w:ascii="Arial" w:hAnsi="Arial" w:cs="Arial"/>
          <w:b/>
          <w:sz w:val="28"/>
          <w:lang w:val="en-US"/>
        </w:rPr>
      </w:pPr>
      <w:r w:rsidRPr="00E7492D">
        <w:rPr>
          <w:rFonts w:ascii="Arial" w:hAnsi="Arial" w:cs="Arial"/>
          <w:b/>
          <w:sz w:val="28"/>
          <w:lang w:val="en-US"/>
        </w:rPr>
        <w:t xml:space="preserve">Innovative </w:t>
      </w:r>
      <w:r w:rsidR="004535D3" w:rsidRPr="00E7492D">
        <w:rPr>
          <w:rFonts w:ascii="Arial" w:hAnsi="Arial" w:cs="Arial"/>
          <w:b/>
          <w:sz w:val="28"/>
          <w:lang w:val="en-US"/>
        </w:rPr>
        <w:t>t</w:t>
      </w:r>
      <w:r w:rsidRPr="00E7492D">
        <w:rPr>
          <w:rFonts w:ascii="Arial" w:hAnsi="Arial" w:cs="Arial"/>
          <w:b/>
          <w:sz w:val="28"/>
          <w:lang w:val="en-US"/>
        </w:rPr>
        <w:t>echnologie</w:t>
      </w:r>
      <w:r w:rsidR="004535D3" w:rsidRPr="00E7492D">
        <w:rPr>
          <w:rFonts w:ascii="Arial" w:hAnsi="Arial" w:cs="Arial"/>
          <w:b/>
          <w:sz w:val="28"/>
          <w:lang w:val="en-US"/>
        </w:rPr>
        <w:t>s</w:t>
      </w:r>
      <w:r w:rsidRPr="00E7492D">
        <w:rPr>
          <w:rFonts w:ascii="Arial" w:hAnsi="Arial" w:cs="Arial"/>
          <w:b/>
          <w:sz w:val="28"/>
          <w:lang w:val="en-US"/>
        </w:rPr>
        <w:t xml:space="preserve"> </w:t>
      </w:r>
      <w:r w:rsidR="004535D3" w:rsidRPr="00E7492D">
        <w:rPr>
          <w:rFonts w:ascii="Arial" w:hAnsi="Arial" w:cs="Arial"/>
          <w:b/>
          <w:sz w:val="28"/>
          <w:lang w:val="en-US"/>
        </w:rPr>
        <w:t>for sustainable production</w:t>
      </w:r>
    </w:p>
    <w:p w14:paraId="474F1C3A" w14:textId="77777777" w:rsidR="0011727B" w:rsidRPr="00E7492D" w:rsidRDefault="0011727B" w:rsidP="0011727B">
      <w:pPr>
        <w:spacing w:line="281" w:lineRule="auto"/>
        <w:jc w:val="both"/>
        <w:rPr>
          <w:rFonts w:ascii="Arial" w:hAnsi="Arial" w:cs="Arial"/>
          <w:lang w:val="en-US"/>
        </w:rPr>
      </w:pPr>
    </w:p>
    <w:p w14:paraId="40FAAB12" w14:textId="55F6CC40" w:rsidR="0011727B" w:rsidRPr="00E7492D" w:rsidRDefault="008C7D24" w:rsidP="004535D3">
      <w:pPr>
        <w:spacing w:line="281" w:lineRule="auto"/>
        <w:jc w:val="both"/>
        <w:rPr>
          <w:rFonts w:ascii="Arial" w:hAnsi="Arial" w:cs="Arial"/>
          <w:i/>
          <w:lang w:val="en-US"/>
        </w:rPr>
      </w:pPr>
      <w:r w:rsidRPr="00E7492D">
        <w:rPr>
          <w:rFonts w:ascii="Arial" w:hAnsi="Arial" w:cs="Arial"/>
          <w:i/>
          <w:lang w:val="en-US"/>
        </w:rPr>
        <w:t xml:space="preserve">Start of the event year 2023: </w:t>
      </w:r>
      <w:r w:rsidR="004535D3" w:rsidRPr="00E7492D">
        <w:rPr>
          <w:rFonts w:ascii="Arial" w:hAnsi="Arial" w:cs="Arial"/>
          <w:i/>
          <w:lang w:val="en-US"/>
        </w:rPr>
        <w:t xml:space="preserve">From January 30 to February 11, 2023, Germany's largest DMG MORI plant in </w:t>
      </w:r>
      <w:proofErr w:type="spellStart"/>
      <w:r w:rsidR="004535D3" w:rsidRPr="00E7492D">
        <w:rPr>
          <w:rFonts w:ascii="Arial" w:hAnsi="Arial" w:cs="Arial"/>
          <w:i/>
          <w:lang w:val="en-US"/>
        </w:rPr>
        <w:t>Pfronten</w:t>
      </w:r>
      <w:proofErr w:type="spellEnd"/>
      <w:r w:rsidR="004535D3" w:rsidRPr="00E7492D">
        <w:rPr>
          <w:rFonts w:ascii="Arial" w:hAnsi="Arial" w:cs="Arial"/>
          <w:i/>
          <w:lang w:val="en-US"/>
        </w:rPr>
        <w:t xml:space="preserve"> will once again be dominated by its traditional open house. On an exhibition area of 3,800 m², the machine tool manufacturer will celebrate with up to 5,000 visitors</w:t>
      </w:r>
      <w:r w:rsidRPr="00E7492D">
        <w:rPr>
          <w:rFonts w:ascii="Arial" w:hAnsi="Arial" w:cs="Arial"/>
          <w:i/>
          <w:lang w:val="en-US"/>
        </w:rPr>
        <w:t xml:space="preserve"> s</w:t>
      </w:r>
      <w:r w:rsidR="002811F4" w:rsidRPr="00E7492D">
        <w:rPr>
          <w:rFonts w:ascii="Arial" w:hAnsi="Arial" w:cs="Arial"/>
          <w:i/>
          <w:lang w:val="en-US"/>
        </w:rPr>
        <w:t>even</w:t>
      </w:r>
      <w:r w:rsidR="004535D3" w:rsidRPr="00E7492D">
        <w:rPr>
          <w:rFonts w:ascii="Arial" w:hAnsi="Arial" w:cs="Arial"/>
          <w:i/>
          <w:lang w:val="en-US"/>
        </w:rPr>
        <w:t xml:space="preserve"> world premieres</w:t>
      </w:r>
      <w:r w:rsidRPr="00E7492D">
        <w:rPr>
          <w:rFonts w:ascii="Arial" w:hAnsi="Arial" w:cs="Arial"/>
          <w:i/>
          <w:lang w:val="en-US"/>
        </w:rPr>
        <w:t>.</w:t>
      </w:r>
      <w:r w:rsidR="004535D3" w:rsidRPr="00E7492D">
        <w:rPr>
          <w:rFonts w:ascii="Arial" w:hAnsi="Arial" w:cs="Arial"/>
          <w:i/>
          <w:lang w:val="en-US"/>
        </w:rPr>
        <w:t xml:space="preserve"> </w:t>
      </w:r>
      <w:r w:rsidRPr="00E7492D">
        <w:rPr>
          <w:rFonts w:ascii="Arial" w:hAnsi="Arial" w:cs="Arial"/>
          <w:i/>
          <w:lang w:val="en-US"/>
        </w:rPr>
        <w:t xml:space="preserve">Among the lathes, the CTX 350 will be on show. It combines the best from the previous CLX and CTX alpha series. DMG MORI will present the T1 and the T2 for entry-level universal turning. In addition, there will be the 3-axis M2 as the big sister model of the M1. </w:t>
      </w:r>
      <w:r w:rsidR="004535D3" w:rsidRPr="00E7492D">
        <w:rPr>
          <w:rFonts w:ascii="Arial" w:hAnsi="Arial" w:cs="Arial"/>
          <w:i/>
          <w:lang w:val="en-US"/>
        </w:rPr>
        <w:t>In the area of the 5-axis simultaneous milling, the DMU 40</w:t>
      </w:r>
      <w:r w:rsidRPr="00E7492D">
        <w:rPr>
          <w:rFonts w:ascii="Arial" w:hAnsi="Arial" w:cs="Arial"/>
          <w:i/>
          <w:lang w:val="en-US"/>
        </w:rPr>
        <w:t xml:space="preserve"> and</w:t>
      </w:r>
      <w:r w:rsidR="004535D3" w:rsidRPr="00E7492D">
        <w:rPr>
          <w:rFonts w:ascii="Arial" w:hAnsi="Arial" w:cs="Arial"/>
          <w:i/>
          <w:lang w:val="en-US"/>
        </w:rPr>
        <w:t xml:space="preserve"> </w:t>
      </w:r>
      <w:r w:rsidRPr="00E7492D">
        <w:rPr>
          <w:rFonts w:ascii="Arial" w:hAnsi="Arial" w:cs="Arial"/>
          <w:i/>
          <w:lang w:val="en-US"/>
        </w:rPr>
        <w:t xml:space="preserve">the new </w:t>
      </w:r>
      <w:proofErr w:type="spellStart"/>
      <w:r w:rsidRPr="00E7492D">
        <w:rPr>
          <w:rFonts w:ascii="Arial" w:hAnsi="Arial" w:cs="Arial"/>
          <w:i/>
          <w:lang w:val="en-US"/>
        </w:rPr>
        <w:t>monoBLOCK</w:t>
      </w:r>
      <w:proofErr w:type="spellEnd"/>
      <w:r w:rsidRPr="00E7492D">
        <w:rPr>
          <w:rFonts w:ascii="Arial" w:hAnsi="Arial" w:cs="Arial"/>
          <w:i/>
          <w:lang w:val="en-US"/>
        </w:rPr>
        <w:t xml:space="preserve"> generation will be presented as well as </w:t>
      </w:r>
      <w:r w:rsidR="004535D3" w:rsidRPr="00E7492D">
        <w:rPr>
          <w:rFonts w:ascii="Arial" w:hAnsi="Arial" w:cs="Arial"/>
          <w:i/>
          <w:lang w:val="en-US"/>
        </w:rPr>
        <w:t>and the DMF 300|11</w:t>
      </w:r>
      <w:r w:rsidRPr="00E7492D">
        <w:rPr>
          <w:rFonts w:ascii="Arial" w:hAnsi="Arial" w:cs="Arial"/>
          <w:i/>
          <w:lang w:val="en-US"/>
        </w:rPr>
        <w:t xml:space="preserve">. </w:t>
      </w:r>
      <w:r w:rsidR="004535D3" w:rsidRPr="00E7492D">
        <w:rPr>
          <w:rFonts w:ascii="Arial" w:hAnsi="Arial" w:cs="Arial"/>
          <w:i/>
          <w:lang w:val="en-US"/>
        </w:rPr>
        <w:t>The high standards in automation are demonstrated by 14 autonomous manufacturing solutions from a total of 28 exhibited CNC machines from all technology areas. One highlight here is the CTS (Central Tool Storage), a central tool magazine that enables automated tool supply by means of a transport shuttle.</w:t>
      </w:r>
      <w:r w:rsidR="0011727B" w:rsidRPr="00E7492D">
        <w:rPr>
          <w:rFonts w:ascii="Arial" w:hAnsi="Arial" w:cs="Arial"/>
          <w:i/>
          <w:lang w:val="en-US"/>
        </w:rPr>
        <w:t xml:space="preserve"> </w:t>
      </w:r>
    </w:p>
    <w:p w14:paraId="6B81AEBF" w14:textId="11D03E59" w:rsidR="0011727B" w:rsidRDefault="0011727B" w:rsidP="0011727B">
      <w:pPr>
        <w:spacing w:line="281" w:lineRule="auto"/>
        <w:jc w:val="both"/>
        <w:rPr>
          <w:rFonts w:ascii="Arial" w:hAnsi="Arial" w:cs="Arial"/>
          <w:lang w:val="en-US"/>
        </w:rPr>
      </w:pPr>
    </w:p>
    <w:p w14:paraId="346FB0DB" w14:textId="77777777" w:rsidR="00BF3F36" w:rsidRDefault="00BF3F36" w:rsidP="008C7D24">
      <w:pPr>
        <w:spacing w:line="281" w:lineRule="auto"/>
        <w:jc w:val="both"/>
        <w:rPr>
          <w:rFonts w:ascii="Arial" w:hAnsi="Arial" w:cs="Arial"/>
          <w:b/>
          <w:bCs/>
          <w:iCs/>
          <w:lang w:val="en-US"/>
        </w:rPr>
      </w:pPr>
    </w:p>
    <w:p w14:paraId="3B452E33" w14:textId="172D0042" w:rsidR="008C7D24" w:rsidRPr="00E7492D" w:rsidRDefault="008C7D24" w:rsidP="008C7D24">
      <w:pPr>
        <w:spacing w:line="281" w:lineRule="auto"/>
        <w:jc w:val="both"/>
        <w:rPr>
          <w:rFonts w:ascii="Arial" w:hAnsi="Arial" w:cs="Arial"/>
          <w:b/>
          <w:bCs/>
          <w:iCs/>
          <w:lang w:val="en-US"/>
        </w:rPr>
      </w:pPr>
      <w:r w:rsidRPr="00E7492D">
        <w:rPr>
          <w:rFonts w:ascii="Arial" w:hAnsi="Arial" w:cs="Arial"/>
          <w:b/>
          <w:bCs/>
          <w:iCs/>
          <w:lang w:val="en-US"/>
        </w:rPr>
        <w:t>Universal turning with state-of-the-art equipment</w:t>
      </w:r>
    </w:p>
    <w:p w14:paraId="680A35A3" w14:textId="41F9F6F6" w:rsidR="008C7D24" w:rsidRPr="00E7492D" w:rsidRDefault="008C7D24" w:rsidP="008C7D24">
      <w:pPr>
        <w:spacing w:line="281" w:lineRule="auto"/>
        <w:jc w:val="both"/>
        <w:rPr>
          <w:rFonts w:ascii="Arial" w:hAnsi="Arial" w:cs="Arial"/>
          <w:iCs/>
          <w:lang w:val="en-US"/>
        </w:rPr>
      </w:pPr>
      <w:r w:rsidRPr="00E7492D">
        <w:rPr>
          <w:rFonts w:ascii="Arial" w:hAnsi="Arial" w:cs="Arial"/>
          <w:iCs/>
          <w:lang w:val="en-US"/>
        </w:rPr>
        <w:t>DMG MORI is positioning the new CTX 350 universal lathe as the successor model to both the CLX 350 and the CTX alpha 500. The world premiere consistently combines the best of both machines – the price level of the CLX series and the performance and equipment diversity of the CTX series. New features include: a main spindle with an energy-efficient synchronous motor with improved thermal behavior – it reaches a speed of 5,500 min</w:t>
      </w:r>
      <w:r w:rsidRPr="00E7492D">
        <w:rPr>
          <w:rFonts w:ascii="Arial" w:hAnsi="Arial" w:cs="Arial"/>
          <w:iCs/>
          <w:vertAlign w:val="superscript"/>
          <w:lang w:val="en-US"/>
        </w:rPr>
        <w:t>-1</w:t>
      </w:r>
      <w:r w:rsidRPr="00E7492D">
        <w:rPr>
          <w:rFonts w:ascii="Arial" w:hAnsi="Arial" w:cs="Arial"/>
          <w:iCs/>
          <w:lang w:val="en-US"/>
        </w:rPr>
        <w:t xml:space="preserve"> – a dynamic and precise C-axis with better positioning, and a VDI-30 turret with air-oil lubrication. Optional features include a Y-axis with the largest stroke on the market of +/- 50 mm, a counter spindle with a speed of 6,000 min</w:t>
      </w:r>
      <w:r w:rsidRPr="00E7492D">
        <w:rPr>
          <w:rFonts w:ascii="Arial" w:hAnsi="Arial" w:cs="Arial"/>
          <w:iCs/>
          <w:vertAlign w:val="superscript"/>
          <w:lang w:val="en-US"/>
        </w:rPr>
        <w:t>-1</w:t>
      </w:r>
      <w:r w:rsidRPr="00E7492D">
        <w:rPr>
          <w:rFonts w:ascii="Arial" w:hAnsi="Arial" w:cs="Arial"/>
          <w:iCs/>
          <w:lang w:val="en-US"/>
        </w:rPr>
        <w:t xml:space="preserve"> and a rear chip conveyor as an alternative to the standard one. On the control side, DMG MORI uses either SIEMENS or FANUC. Intelligent automation solutions for autonomous loading and unloading of workpieces as well as unloading of shafts by the counter spindle system complete the modular possibilities around the CTX 350.</w:t>
      </w:r>
    </w:p>
    <w:p w14:paraId="6AB8A99F" w14:textId="77777777" w:rsidR="008C7D24" w:rsidRPr="00E7492D" w:rsidRDefault="008C7D24" w:rsidP="008C7D24">
      <w:pPr>
        <w:spacing w:line="281" w:lineRule="auto"/>
        <w:jc w:val="both"/>
        <w:rPr>
          <w:rFonts w:ascii="Arial" w:hAnsi="Arial" w:cs="Arial"/>
          <w:iCs/>
          <w:lang w:val="en-US"/>
        </w:rPr>
      </w:pPr>
    </w:p>
    <w:p w14:paraId="495018D2" w14:textId="7A516B33" w:rsidR="008C7D24" w:rsidRPr="00E7492D" w:rsidRDefault="00DE6114" w:rsidP="008C7D24">
      <w:pPr>
        <w:spacing w:line="281" w:lineRule="auto"/>
        <w:jc w:val="center"/>
        <w:rPr>
          <w:rFonts w:ascii="Arial" w:hAnsi="Arial" w:cs="Arial"/>
          <w:lang w:val="de-DE"/>
        </w:rPr>
      </w:pPr>
      <w:r w:rsidRPr="00E7492D">
        <w:rPr>
          <w:rFonts w:ascii="Arial" w:hAnsi="Arial" w:cs="Arial"/>
          <w:noProof/>
          <w:lang w:val="de-DE"/>
        </w:rPr>
        <w:lastRenderedPageBreak/>
        <w:drawing>
          <wp:inline distT="0" distB="0" distL="0" distR="0" wp14:anchorId="208A69F5" wp14:editId="790FA98D">
            <wp:extent cx="4706007" cy="2981741"/>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6007" cy="2981741"/>
                    </a:xfrm>
                    <a:prstGeom prst="rect">
                      <a:avLst/>
                    </a:prstGeom>
                  </pic:spPr>
                </pic:pic>
              </a:graphicData>
            </a:graphic>
          </wp:inline>
        </w:drawing>
      </w:r>
    </w:p>
    <w:p w14:paraId="20D504E3" w14:textId="77777777" w:rsidR="008C7D24" w:rsidRPr="00E7492D" w:rsidRDefault="008C7D24" w:rsidP="008C7D24">
      <w:pPr>
        <w:spacing w:line="281" w:lineRule="auto"/>
        <w:jc w:val="center"/>
        <w:rPr>
          <w:rFonts w:ascii="Arial" w:hAnsi="Arial" w:cs="Arial"/>
          <w:i/>
          <w:iCs/>
          <w:lang w:val="en-US"/>
        </w:rPr>
      </w:pPr>
      <w:r w:rsidRPr="00E7492D">
        <w:rPr>
          <w:rFonts w:ascii="Arial" w:hAnsi="Arial" w:cs="Arial"/>
          <w:i/>
          <w:iCs/>
          <w:lang w:val="en-US"/>
        </w:rPr>
        <w:t>The CTX 350 combines a favorable price with high-quality equipment in universal turning.</w:t>
      </w:r>
    </w:p>
    <w:p w14:paraId="0A8F7C32" w14:textId="77777777" w:rsidR="008C7D24" w:rsidRPr="00E7492D" w:rsidRDefault="008C7D24" w:rsidP="008C7D24">
      <w:pPr>
        <w:spacing w:line="280" w:lineRule="auto"/>
        <w:jc w:val="both"/>
        <w:rPr>
          <w:rFonts w:ascii="Arial" w:hAnsi="Arial" w:cs="Arial"/>
          <w:b/>
          <w:bCs/>
          <w:iCs/>
          <w:lang w:val="en-US"/>
        </w:rPr>
      </w:pPr>
    </w:p>
    <w:p w14:paraId="2E1D2C51" w14:textId="19C08A89" w:rsidR="008C7D24" w:rsidRPr="00E7492D" w:rsidRDefault="008C7D24" w:rsidP="008C7D24">
      <w:pPr>
        <w:spacing w:line="280" w:lineRule="auto"/>
        <w:jc w:val="both"/>
        <w:rPr>
          <w:rFonts w:ascii="Arial" w:hAnsi="Arial" w:cs="Arial"/>
          <w:b/>
          <w:bCs/>
          <w:iCs/>
          <w:lang w:val="en-US"/>
        </w:rPr>
      </w:pPr>
      <w:r w:rsidRPr="00E7492D">
        <w:rPr>
          <w:rFonts w:ascii="Arial" w:hAnsi="Arial" w:cs="Arial"/>
          <w:b/>
          <w:bCs/>
          <w:iCs/>
          <w:lang w:val="en-US"/>
        </w:rPr>
        <w:t>Productive universal turning at competitive prices</w:t>
      </w:r>
    </w:p>
    <w:p w14:paraId="3039DA52" w14:textId="77777777" w:rsidR="008C7D24" w:rsidRPr="00E7492D" w:rsidRDefault="008C7D24" w:rsidP="008C7D24">
      <w:pPr>
        <w:spacing w:line="280" w:lineRule="auto"/>
        <w:jc w:val="both"/>
        <w:rPr>
          <w:rFonts w:ascii="Arial" w:hAnsi="Arial" w:cs="Arial"/>
          <w:lang w:val="en-US"/>
        </w:rPr>
      </w:pPr>
      <w:r w:rsidRPr="00E7492D">
        <w:rPr>
          <w:rFonts w:ascii="Arial" w:hAnsi="Arial" w:cs="Arial"/>
          <w:iCs/>
          <w:lang w:val="en-US"/>
        </w:rPr>
        <w:t xml:space="preserve">Analogous to the already successful M1 vertical machining center, DMG MORI is now entering the entry-level class in universal turning with the new T1 and T2. Both models feature state-of-the-art components: a powerful main spindle, linear scales in the X-axis and a modern SIEMENS control system as well as the </w:t>
      </w:r>
      <w:proofErr w:type="spellStart"/>
      <w:r w:rsidRPr="00E7492D">
        <w:rPr>
          <w:rFonts w:ascii="Arial" w:hAnsi="Arial" w:cs="Arial"/>
          <w:iCs/>
          <w:lang w:val="en-US"/>
        </w:rPr>
        <w:t>IoTconnector</w:t>
      </w:r>
      <w:proofErr w:type="spellEnd"/>
      <w:r w:rsidRPr="00E7492D">
        <w:rPr>
          <w:rFonts w:ascii="Arial" w:hAnsi="Arial" w:cs="Arial"/>
          <w:iCs/>
          <w:lang w:val="en-US"/>
        </w:rPr>
        <w:t xml:space="preserve"> for integration into digitized manufacturing. The robust machine bed and linear guides in all axes ensure dynamic and accurate turning operations. The T1 and T2 are offered in three equipment variants COMPLETE, PLUS and PRO, so it covers different production requirements. In addition, the universal lathe is part of DMG MORI's PAYZR subscription offering. As an entry-level model in universal turning, the T1 and T2 set standards in terms of quality and reliability. The heart of the machines are the high-quality main spindles.</w:t>
      </w:r>
      <w:r w:rsidRPr="00E7492D">
        <w:rPr>
          <w:lang w:val="en-US"/>
        </w:rPr>
        <w:t xml:space="preserve"> </w:t>
      </w:r>
      <w:r w:rsidRPr="00E7492D">
        <w:rPr>
          <w:rFonts w:ascii="Arial" w:hAnsi="Arial" w:cs="Arial"/>
          <w:iCs/>
          <w:lang w:val="en-US"/>
        </w:rPr>
        <w:t xml:space="preserve">In the T1 it reaches a speed of 4,500 rpm and a torque of 140 Nm, while the spindle in the T2 has a speed of 3,500 rpm and 319 Nm. The standard bar capacity is ø 65 mm for the T1 and ø 80 mm for the larger model. The turret offers space for twelve tools </w:t>
      </w:r>
      <w:r w:rsidRPr="00E7492D">
        <w:rPr>
          <w:rFonts w:ascii="Arial" w:hAnsi="Arial" w:cs="Arial"/>
          <w:lang w:val="en-US"/>
        </w:rPr>
        <w:t>(T1: VDI 30 / T2: VDI 40)</w:t>
      </w:r>
      <w:r w:rsidRPr="00E7492D">
        <w:rPr>
          <w:rFonts w:ascii="Arial" w:hAnsi="Arial" w:cs="Arial"/>
          <w:iCs/>
          <w:lang w:val="en-US"/>
        </w:rPr>
        <w:t>. The stable machine bed is inclined at 45° to ensure optimum chip fall. Thanks to this equipment, the T1 and T2 achieve top values in its class. For example, the T1 enables a cutting depth of 4 mm in carbon steel at a cutting speed of 240 m/min.</w:t>
      </w:r>
    </w:p>
    <w:p w14:paraId="36794CCA" w14:textId="77777777" w:rsidR="008C7D24" w:rsidRPr="00E7492D" w:rsidRDefault="008C7D24" w:rsidP="008C7D24">
      <w:pPr>
        <w:spacing w:line="281" w:lineRule="auto"/>
        <w:jc w:val="both"/>
        <w:rPr>
          <w:rFonts w:ascii="Arial" w:hAnsi="Arial" w:cs="Arial"/>
          <w:lang w:val="en-US"/>
        </w:rPr>
      </w:pPr>
    </w:p>
    <w:p w14:paraId="6683A26B" w14:textId="77777777" w:rsidR="008C7D24" w:rsidRPr="00E7492D" w:rsidRDefault="008C7D24" w:rsidP="008C7D24">
      <w:pPr>
        <w:spacing w:line="281" w:lineRule="auto"/>
        <w:jc w:val="center"/>
        <w:rPr>
          <w:rFonts w:ascii="Arial" w:hAnsi="Arial" w:cs="Arial"/>
          <w:lang w:val="de-DE"/>
        </w:rPr>
      </w:pPr>
      <w:r w:rsidRPr="00E7492D">
        <w:rPr>
          <w:rFonts w:ascii="Arial" w:hAnsi="Arial" w:cs="Arial"/>
          <w:noProof/>
          <w:lang w:val="de-DE"/>
        </w:rPr>
        <w:lastRenderedPageBreak/>
        <w:drawing>
          <wp:inline distT="0" distB="0" distL="0" distR="0" wp14:anchorId="2053A2BF" wp14:editId="43972DB0">
            <wp:extent cx="4734586" cy="3229426"/>
            <wp:effectExtent l="0" t="0" r="889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4586" cy="3229426"/>
                    </a:xfrm>
                    <a:prstGeom prst="rect">
                      <a:avLst/>
                    </a:prstGeom>
                  </pic:spPr>
                </pic:pic>
              </a:graphicData>
            </a:graphic>
          </wp:inline>
        </w:drawing>
      </w:r>
    </w:p>
    <w:p w14:paraId="62FAD62F" w14:textId="77777777" w:rsidR="008C7D24" w:rsidRPr="00E7492D" w:rsidRDefault="008C7D24" w:rsidP="008C7D24">
      <w:pPr>
        <w:spacing w:line="281" w:lineRule="auto"/>
        <w:jc w:val="both"/>
        <w:rPr>
          <w:rFonts w:ascii="Arial" w:hAnsi="Arial" w:cs="Arial"/>
          <w:lang w:val="de-DE"/>
        </w:rPr>
      </w:pPr>
    </w:p>
    <w:p w14:paraId="4BF7B7D1" w14:textId="77777777" w:rsidR="008C7D24" w:rsidRPr="00E7492D" w:rsidRDefault="008C7D24" w:rsidP="008C7D24">
      <w:pPr>
        <w:spacing w:line="281" w:lineRule="auto"/>
        <w:jc w:val="center"/>
        <w:rPr>
          <w:rFonts w:ascii="Arial" w:hAnsi="Arial" w:cs="Arial"/>
          <w:i/>
          <w:iCs/>
          <w:lang w:val="en-US"/>
        </w:rPr>
      </w:pPr>
      <w:r w:rsidRPr="00E7492D">
        <w:rPr>
          <w:rFonts w:ascii="Arial" w:hAnsi="Arial" w:cs="Arial"/>
          <w:i/>
          <w:iCs/>
          <w:lang w:val="en-US"/>
        </w:rPr>
        <w:t>The T1 and the T2 are the new entry-level universal turning machines in the portfolio.</w:t>
      </w:r>
    </w:p>
    <w:p w14:paraId="2C9E18EA" w14:textId="77777777" w:rsidR="008C7D24" w:rsidRPr="00E7492D" w:rsidRDefault="008C7D24" w:rsidP="008C7D24">
      <w:pPr>
        <w:spacing w:line="281" w:lineRule="auto"/>
        <w:jc w:val="both"/>
        <w:rPr>
          <w:rFonts w:ascii="Arial" w:hAnsi="Arial" w:cs="Arial"/>
          <w:lang w:val="en-US"/>
        </w:rPr>
      </w:pPr>
    </w:p>
    <w:p w14:paraId="3BDD4209" w14:textId="77777777" w:rsidR="008C7D24" w:rsidRPr="00E7492D" w:rsidRDefault="008C7D24" w:rsidP="008C7D24">
      <w:pPr>
        <w:spacing w:line="281" w:lineRule="auto"/>
        <w:jc w:val="both"/>
        <w:rPr>
          <w:rFonts w:ascii="Arial" w:hAnsi="Arial" w:cs="Arial"/>
          <w:b/>
          <w:bCs/>
          <w:lang w:val="en-US"/>
        </w:rPr>
      </w:pPr>
      <w:r w:rsidRPr="00E7492D">
        <w:rPr>
          <w:rFonts w:ascii="Arial" w:hAnsi="Arial" w:cs="Arial"/>
          <w:b/>
          <w:bCs/>
          <w:lang w:val="en-US"/>
        </w:rPr>
        <w:t>Cost-effective 3-axis machining of large components</w:t>
      </w:r>
    </w:p>
    <w:p w14:paraId="323B3221" w14:textId="77777777" w:rsidR="008C7D24" w:rsidRPr="00E7492D" w:rsidRDefault="008C7D24" w:rsidP="008C7D24">
      <w:pPr>
        <w:spacing w:line="281" w:lineRule="auto"/>
        <w:jc w:val="both"/>
        <w:rPr>
          <w:rFonts w:ascii="Arial" w:hAnsi="Arial" w:cs="Arial"/>
          <w:iCs/>
          <w:lang w:val="en-US"/>
        </w:rPr>
      </w:pPr>
      <w:r w:rsidRPr="00E7492D">
        <w:rPr>
          <w:rFonts w:ascii="Arial" w:hAnsi="Arial" w:cs="Arial"/>
          <w:lang w:val="en-US"/>
        </w:rPr>
        <w:t>Following the success of the M1 as an entry-level model in vertical machining, DMG MORI presents the new M2 as a consistent expansion in this machine segment. Like its smaller sister model, this 3-axis milling machine will also serve as a cost-effective addition to the machine park. The M2 is perfectly suited to absorb production peaks. Its clamping surface measures 1,400 x 600 mm, and travel is 1,100 x 550 x 510 mm, meaning that there is now sufficient space for larger components in this segment. The monolithic design of the machine bed gives the M2 high rigidity and optimum damping properties. Users also benefit from the high thermal load capacity of the machining center and its high-quality components. Powerful spindles with 10,000 min</w:t>
      </w:r>
      <w:r w:rsidRPr="00E7492D">
        <w:rPr>
          <w:rFonts w:ascii="Arial" w:hAnsi="Arial" w:cs="Arial"/>
          <w:vertAlign w:val="superscript"/>
          <w:lang w:val="en-US"/>
        </w:rPr>
        <w:t>-1</w:t>
      </w:r>
      <w:r w:rsidRPr="00E7492D">
        <w:rPr>
          <w:rFonts w:ascii="Arial" w:hAnsi="Arial" w:cs="Arial"/>
          <w:lang w:val="en-US"/>
        </w:rPr>
        <w:t xml:space="preserve"> or 12,000 min</w:t>
      </w:r>
      <w:r w:rsidRPr="00E7492D">
        <w:rPr>
          <w:rFonts w:ascii="Arial" w:hAnsi="Arial" w:cs="Arial"/>
          <w:vertAlign w:val="superscript"/>
          <w:lang w:val="en-US"/>
        </w:rPr>
        <w:t>-1</w:t>
      </w:r>
      <w:r w:rsidRPr="00E7492D">
        <w:rPr>
          <w:rFonts w:ascii="Arial" w:hAnsi="Arial" w:cs="Arial"/>
          <w:lang w:val="en-US"/>
        </w:rPr>
        <w:t xml:space="preserve"> and the fast tool magazine with 24 places are part of the equipment portfolio. All in all, the M2 allows dynamic and stable machining with very good surface quality and long tool life.</w:t>
      </w:r>
    </w:p>
    <w:p w14:paraId="23FEF42E" w14:textId="77777777" w:rsidR="008C7D24" w:rsidRPr="00E7492D" w:rsidRDefault="008C7D24" w:rsidP="008C7D24">
      <w:pPr>
        <w:spacing w:line="281" w:lineRule="auto"/>
        <w:jc w:val="both"/>
        <w:rPr>
          <w:rFonts w:ascii="Arial" w:hAnsi="Arial" w:cs="Arial"/>
          <w:iCs/>
          <w:lang w:val="de-DE"/>
        </w:rPr>
      </w:pPr>
      <w:r w:rsidRPr="00E7492D">
        <w:rPr>
          <w:rFonts w:ascii="Arial" w:hAnsi="Arial" w:cs="Arial"/>
          <w:iCs/>
          <w:noProof/>
          <w:lang w:val="de-DE"/>
        </w:rPr>
        <w:lastRenderedPageBreak/>
        <w:drawing>
          <wp:inline distT="0" distB="0" distL="0" distR="0" wp14:anchorId="0B10CAA9" wp14:editId="1E3B7A68">
            <wp:extent cx="4887007" cy="3353268"/>
            <wp:effectExtent l="0" t="0" r="8890" b="0"/>
            <wp:docPr id="11" name="Grafik 1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rinnen enthält.&#10;&#10;Automatisch generierte Beschreibung"/>
                    <pic:cNvPicPr/>
                  </pic:nvPicPr>
                  <pic:blipFill>
                    <a:blip r:embed="rId10"/>
                    <a:stretch>
                      <a:fillRect/>
                    </a:stretch>
                  </pic:blipFill>
                  <pic:spPr>
                    <a:xfrm>
                      <a:off x="0" y="0"/>
                      <a:ext cx="4887007" cy="3353268"/>
                    </a:xfrm>
                    <a:prstGeom prst="rect">
                      <a:avLst/>
                    </a:prstGeom>
                  </pic:spPr>
                </pic:pic>
              </a:graphicData>
            </a:graphic>
          </wp:inline>
        </w:drawing>
      </w:r>
    </w:p>
    <w:p w14:paraId="06EA5A89" w14:textId="77777777" w:rsidR="008C7D24" w:rsidRPr="00E7492D" w:rsidRDefault="008C7D24" w:rsidP="008C7D24">
      <w:pPr>
        <w:spacing w:line="281" w:lineRule="auto"/>
        <w:jc w:val="both"/>
        <w:rPr>
          <w:rFonts w:ascii="Arial" w:hAnsi="Arial" w:cs="Arial"/>
          <w:iCs/>
          <w:lang w:val="de-DE"/>
        </w:rPr>
      </w:pPr>
    </w:p>
    <w:p w14:paraId="679FFABB" w14:textId="77777777" w:rsidR="008C7D24" w:rsidRPr="00E7492D" w:rsidRDefault="008C7D24" w:rsidP="008C7D24">
      <w:pPr>
        <w:spacing w:line="281" w:lineRule="auto"/>
        <w:jc w:val="center"/>
        <w:rPr>
          <w:rFonts w:ascii="Arial" w:hAnsi="Arial" w:cs="Arial"/>
          <w:i/>
          <w:lang w:val="en-US"/>
        </w:rPr>
      </w:pPr>
      <w:r w:rsidRPr="00E7492D">
        <w:rPr>
          <w:rFonts w:ascii="Arial" w:hAnsi="Arial" w:cs="Arial"/>
          <w:i/>
          <w:lang w:val="en-US"/>
        </w:rPr>
        <w:t>With travels of 1,100 x 550 x 510 mm, the M2 can also accommodate large components.</w:t>
      </w:r>
    </w:p>
    <w:p w14:paraId="79C59138" w14:textId="77777777" w:rsidR="00457221" w:rsidRPr="00101DF2" w:rsidRDefault="00457221" w:rsidP="0011727B">
      <w:pPr>
        <w:spacing w:line="281" w:lineRule="auto"/>
        <w:jc w:val="both"/>
        <w:rPr>
          <w:rFonts w:ascii="Arial" w:hAnsi="Arial" w:cs="Arial"/>
          <w:lang w:val="es-ES"/>
        </w:rPr>
      </w:pPr>
    </w:p>
    <w:p w14:paraId="29CF19D9" w14:textId="77777777" w:rsidR="004535D3" w:rsidRPr="00E7492D" w:rsidRDefault="004535D3" w:rsidP="004535D3">
      <w:pPr>
        <w:spacing w:line="281" w:lineRule="auto"/>
        <w:jc w:val="both"/>
        <w:rPr>
          <w:rFonts w:ascii="Arial" w:hAnsi="Arial" w:cs="Arial"/>
          <w:b/>
          <w:bCs/>
          <w:iCs/>
          <w:lang w:val="en-US"/>
        </w:rPr>
      </w:pPr>
      <w:r w:rsidRPr="00E7492D">
        <w:rPr>
          <w:rFonts w:ascii="Arial" w:hAnsi="Arial" w:cs="Arial"/>
          <w:b/>
          <w:bCs/>
          <w:iCs/>
          <w:lang w:val="en-US"/>
        </w:rPr>
        <w:t>Versatile complete machining in a small space</w:t>
      </w:r>
    </w:p>
    <w:p w14:paraId="5459BB7C" w14:textId="0CBC6402" w:rsidR="004535D3" w:rsidRPr="00E7492D" w:rsidRDefault="004535D3" w:rsidP="004535D3">
      <w:pPr>
        <w:spacing w:line="281" w:lineRule="auto"/>
        <w:jc w:val="both"/>
        <w:rPr>
          <w:rFonts w:ascii="Arial" w:hAnsi="Arial" w:cs="Arial"/>
          <w:iCs/>
          <w:lang w:val="en-US"/>
        </w:rPr>
      </w:pPr>
      <w:r w:rsidRPr="00E7492D">
        <w:rPr>
          <w:rFonts w:ascii="Arial" w:hAnsi="Arial" w:cs="Arial"/>
          <w:iCs/>
          <w:lang w:val="en-US"/>
        </w:rPr>
        <w:t>More than 10,000 sold machines of the DMU 50</w:t>
      </w:r>
      <w:r w:rsidR="00552874" w:rsidRPr="00E7492D">
        <w:rPr>
          <w:rFonts w:ascii="Arial" w:hAnsi="Arial" w:cs="Arial"/>
          <w:iCs/>
          <w:lang w:val="en-US"/>
        </w:rPr>
        <w:t> </w:t>
      </w:r>
      <w:r w:rsidRPr="00E7492D">
        <w:rPr>
          <w:rFonts w:ascii="Arial" w:hAnsi="Arial" w:cs="Arial"/>
          <w:iCs/>
          <w:lang w:val="en-US"/>
        </w:rPr>
        <w:t>3</w:t>
      </w:r>
      <w:r w:rsidRPr="00E7492D">
        <w:rPr>
          <w:rFonts w:ascii="Arial" w:hAnsi="Arial" w:cs="Arial"/>
          <w:iCs/>
          <w:vertAlign w:val="superscript"/>
          <w:lang w:val="en-US"/>
        </w:rPr>
        <w:t>rd</w:t>
      </w:r>
      <w:r w:rsidR="00552874" w:rsidRPr="00E7492D">
        <w:rPr>
          <w:rFonts w:ascii="Arial" w:hAnsi="Arial" w:cs="Arial"/>
          <w:iCs/>
          <w:lang w:val="en-US"/>
        </w:rPr>
        <w:t> </w:t>
      </w:r>
      <w:r w:rsidRPr="00E7492D">
        <w:rPr>
          <w:rFonts w:ascii="Arial" w:hAnsi="Arial" w:cs="Arial"/>
          <w:iCs/>
          <w:lang w:val="en-US"/>
        </w:rPr>
        <w:t>Generation prove that compact and attractively priced universal machines for 5-axis simultaneous machining have a high priority in numerous industries. With the new DMU 40, DMG MORI is explicitly responding to this demand in the entry-level sector for versatile manufacturing solutions for complete machining. The machine is based on the concept of the DMU</w:t>
      </w:r>
      <w:r w:rsidR="00552874" w:rsidRPr="00E7492D">
        <w:rPr>
          <w:rFonts w:ascii="Arial" w:hAnsi="Arial" w:cs="Arial"/>
          <w:iCs/>
          <w:lang w:val="en-US"/>
        </w:rPr>
        <w:t> </w:t>
      </w:r>
      <w:r w:rsidRPr="00E7492D">
        <w:rPr>
          <w:rFonts w:ascii="Arial" w:hAnsi="Arial" w:cs="Arial"/>
          <w:iCs/>
          <w:lang w:val="en-US"/>
        </w:rPr>
        <w:t>50</w:t>
      </w:r>
      <w:r w:rsidR="00552874" w:rsidRPr="00E7492D">
        <w:rPr>
          <w:rFonts w:ascii="Arial" w:hAnsi="Arial" w:cs="Arial"/>
          <w:iCs/>
          <w:lang w:val="en-US"/>
        </w:rPr>
        <w:t> </w:t>
      </w:r>
      <w:r w:rsidRPr="00E7492D">
        <w:rPr>
          <w:rFonts w:ascii="Arial" w:hAnsi="Arial" w:cs="Arial"/>
          <w:iCs/>
          <w:lang w:val="en-US"/>
        </w:rPr>
        <w:t>3</w:t>
      </w:r>
      <w:r w:rsidRPr="00E7492D">
        <w:rPr>
          <w:rFonts w:ascii="Arial" w:hAnsi="Arial" w:cs="Arial"/>
          <w:iCs/>
          <w:vertAlign w:val="superscript"/>
          <w:lang w:val="en-US"/>
        </w:rPr>
        <w:t>rd</w:t>
      </w:r>
      <w:r w:rsidR="00552874" w:rsidRPr="00E7492D">
        <w:rPr>
          <w:rFonts w:ascii="Arial" w:hAnsi="Arial" w:cs="Arial"/>
          <w:iCs/>
          <w:lang w:val="en-US"/>
        </w:rPr>
        <w:t> </w:t>
      </w:r>
      <w:r w:rsidRPr="00E7492D">
        <w:rPr>
          <w:rFonts w:ascii="Arial" w:hAnsi="Arial" w:cs="Arial"/>
          <w:iCs/>
          <w:lang w:val="en-US"/>
        </w:rPr>
        <w:t xml:space="preserve">Generation and features best-in-class components from the spindles to the direct drives, as well as preparation for automated production with a PH 150 or Robo2Go. Three basic machines </w:t>
      </w:r>
      <w:r w:rsidR="00552874" w:rsidRPr="00E7492D">
        <w:rPr>
          <w:rFonts w:ascii="Arial" w:hAnsi="Arial" w:cs="Arial"/>
          <w:iCs/>
          <w:lang w:val="en-US"/>
        </w:rPr>
        <w:t>–</w:t>
      </w:r>
      <w:r w:rsidRPr="00E7492D">
        <w:rPr>
          <w:rFonts w:ascii="Arial" w:hAnsi="Arial" w:cs="Arial"/>
          <w:iCs/>
          <w:lang w:val="en-US"/>
        </w:rPr>
        <w:t xml:space="preserve"> DMU</w:t>
      </w:r>
      <w:r w:rsidR="00552874" w:rsidRPr="00E7492D">
        <w:rPr>
          <w:rFonts w:ascii="Arial" w:hAnsi="Arial" w:cs="Arial"/>
          <w:iCs/>
          <w:lang w:val="en-US"/>
        </w:rPr>
        <w:t> 4</w:t>
      </w:r>
      <w:r w:rsidRPr="00E7492D">
        <w:rPr>
          <w:rFonts w:ascii="Arial" w:hAnsi="Arial" w:cs="Arial"/>
          <w:iCs/>
          <w:lang w:val="en-US"/>
        </w:rPr>
        <w:t xml:space="preserve">0, DMU 40 PLUS and DMU 40 PRO </w:t>
      </w:r>
      <w:r w:rsidR="00552874" w:rsidRPr="00E7492D">
        <w:rPr>
          <w:rFonts w:ascii="Arial" w:hAnsi="Arial" w:cs="Arial"/>
          <w:iCs/>
          <w:lang w:val="en-US"/>
        </w:rPr>
        <w:t>–</w:t>
      </w:r>
      <w:r w:rsidRPr="00E7492D">
        <w:rPr>
          <w:rFonts w:ascii="Arial" w:hAnsi="Arial" w:cs="Arial"/>
          <w:iCs/>
          <w:lang w:val="en-US"/>
        </w:rPr>
        <w:t xml:space="preserve"> meet individual requirements up to the highest precision in the µm range. In short: The DMU 40 offers all the advantages of the DMU</w:t>
      </w:r>
      <w:r w:rsidR="00552874" w:rsidRPr="00E7492D">
        <w:rPr>
          <w:rFonts w:ascii="Arial" w:hAnsi="Arial" w:cs="Arial"/>
          <w:iCs/>
          <w:lang w:val="en-US"/>
        </w:rPr>
        <w:t> </w:t>
      </w:r>
      <w:r w:rsidRPr="00E7492D">
        <w:rPr>
          <w:rFonts w:ascii="Arial" w:hAnsi="Arial" w:cs="Arial"/>
          <w:iCs/>
          <w:lang w:val="en-US"/>
        </w:rPr>
        <w:t>50</w:t>
      </w:r>
      <w:r w:rsidR="00552874" w:rsidRPr="00E7492D">
        <w:rPr>
          <w:rFonts w:ascii="Arial" w:hAnsi="Arial" w:cs="Arial"/>
          <w:iCs/>
          <w:lang w:val="en-US"/>
        </w:rPr>
        <w:t> </w:t>
      </w:r>
      <w:r w:rsidRPr="00E7492D">
        <w:rPr>
          <w:rFonts w:ascii="Arial" w:hAnsi="Arial" w:cs="Arial"/>
          <w:iCs/>
          <w:lang w:val="en-US"/>
        </w:rPr>
        <w:t>3</w:t>
      </w:r>
      <w:r w:rsidRPr="00E7492D">
        <w:rPr>
          <w:rFonts w:ascii="Arial" w:hAnsi="Arial" w:cs="Arial"/>
          <w:iCs/>
          <w:vertAlign w:val="superscript"/>
          <w:lang w:val="en-US"/>
        </w:rPr>
        <w:t>rd</w:t>
      </w:r>
      <w:r w:rsidR="00552874" w:rsidRPr="00E7492D">
        <w:rPr>
          <w:rFonts w:ascii="Arial" w:hAnsi="Arial" w:cs="Arial"/>
          <w:iCs/>
          <w:lang w:val="en-US"/>
        </w:rPr>
        <w:t> </w:t>
      </w:r>
      <w:r w:rsidRPr="00E7492D">
        <w:rPr>
          <w:rFonts w:ascii="Arial" w:hAnsi="Arial" w:cs="Arial"/>
          <w:iCs/>
          <w:lang w:val="en-US"/>
        </w:rPr>
        <w:t>Generation at the most favorable entry price in the 5-axis simultaneous machining market segment.</w:t>
      </w:r>
    </w:p>
    <w:p w14:paraId="4E1F4B3D" w14:textId="613DCC07" w:rsidR="002811F4" w:rsidRPr="00E7492D" w:rsidRDefault="00DE6114" w:rsidP="002811F4">
      <w:pPr>
        <w:spacing w:line="281" w:lineRule="auto"/>
        <w:jc w:val="both"/>
        <w:rPr>
          <w:rFonts w:ascii="Arial" w:hAnsi="Arial" w:cs="Arial"/>
          <w:lang w:val="de-DE"/>
        </w:rPr>
      </w:pPr>
      <w:r w:rsidRPr="00E7492D">
        <w:rPr>
          <w:rFonts w:ascii="Arial" w:hAnsi="Arial" w:cs="Arial"/>
          <w:noProof/>
          <w:lang w:val="de-DE"/>
        </w:rPr>
        <w:lastRenderedPageBreak/>
        <w:drawing>
          <wp:inline distT="0" distB="0" distL="0" distR="0" wp14:anchorId="1AC90E99" wp14:editId="2E41C632">
            <wp:extent cx="4544059" cy="3505689"/>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4059" cy="3505689"/>
                    </a:xfrm>
                    <a:prstGeom prst="rect">
                      <a:avLst/>
                    </a:prstGeom>
                  </pic:spPr>
                </pic:pic>
              </a:graphicData>
            </a:graphic>
          </wp:inline>
        </w:drawing>
      </w:r>
    </w:p>
    <w:p w14:paraId="58FFB8BE" w14:textId="3EC1E05D" w:rsidR="0011727B" w:rsidRPr="00E7492D" w:rsidRDefault="00552874" w:rsidP="0011727B">
      <w:pPr>
        <w:spacing w:line="281" w:lineRule="auto"/>
        <w:jc w:val="center"/>
        <w:rPr>
          <w:rFonts w:ascii="Arial" w:hAnsi="Arial" w:cs="Arial"/>
          <w:i/>
          <w:iCs/>
          <w:lang w:val="en-US"/>
        </w:rPr>
      </w:pPr>
      <w:r w:rsidRPr="00E7492D">
        <w:rPr>
          <w:rFonts w:ascii="Arial" w:hAnsi="Arial" w:cs="Arial"/>
          <w:i/>
          <w:iCs/>
          <w:lang w:val="en-US"/>
        </w:rPr>
        <w:t>Equipment packages for individual requirements: DMG MORI has designed its new entry-level model in 5-axis simultaneous machining in three variants: DMU 40, DMU 40 PLUS and DMU 40 PRO</w:t>
      </w:r>
      <w:r w:rsidR="0011727B" w:rsidRPr="00E7492D">
        <w:rPr>
          <w:rFonts w:ascii="Arial" w:hAnsi="Arial" w:cs="Arial"/>
          <w:i/>
          <w:iCs/>
          <w:lang w:val="en-US"/>
        </w:rPr>
        <w:t>.</w:t>
      </w:r>
    </w:p>
    <w:p w14:paraId="0EDF7341" w14:textId="2B60FBF8" w:rsidR="0011727B" w:rsidRPr="00E7492D" w:rsidRDefault="0011727B" w:rsidP="0011727B">
      <w:pPr>
        <w:spacing w:line="281" w:lineRule="auto"/>
        <w:jc w:val="both"/>
        <w:rPr>
          <w:rFonts w:ascii="Arial" w:hAnsi="Arial" w:cs="Arial"/>
          <w:iCs/>
          <w:lang w:val="en-US"/>
        </w:rPr>
      </w:pPr>
    </w:p>
    <w:p w14:paraId="72A80CCE" w14:textId="77777777" w:rsidR="008C7D24" w:rsidRPr="00E7492D" w:rsidRDefault="008C7D24" w:rsidP="008C7D24">
      <w:pPr>
        <w:spacing w:line="281" w:lineRule="auto"/>
        <w:jc w:val="both"/>
        <w:rPr>
          <w:rFonts w:ascii="Arial" w:hAnsi="Arial" w:cs="Arial"/>
          <w:b/>
          <w:bCs/>
          <w:iCs/>
          <w:lang w:val="en-US"/>
        </w:rPr>
      </w:pPr>
      <w:r w:rsidRPr="00E7492D">
        <w:rPr>
          <w:rFonts w:ascii="Arial" w:hAnsi="Arial" w:cs="Arial"/>
          <w:b/>
          <w:bCs/>
          <w:iCs/>
          <w:lang w:val="en-US"/>
        </w:rPr>
        <w:t xml:space="preserve">Next Level of the proven </w:t>
      </w:r>
      <w:proofErr w:type="spellStart"/>
      <w:r w:rsidRPr="00E7492D">
        <w:rPr>
          <w:rFonts w:ascii="Arial" w:hAnsi="Arial" w:cs="Arial"/>
          <w:b/>
          <w:bCs/>
          <w:iCs/>
          <w:lang w:val="en-US"/>
        </w:rPr>
        <w:t>monoBLOCK</w:t>
      </w:r>
      <w:proofErr w:type="spellEnd"/>
      <w:r w:rsidRPr="00E7492D">
        <w:rPr>
          <w:rFonts w:ascii="Arial" w:hAnsi="Arial" w:cs="Arial"/>
          <w:b/>
          <w:bCs/>
          <w:iCs/>
          <w:lang w:val="en-US"/>
        </w:rPr>
        <w:t xml:space="preserve"> concept</w:t>
      </w:r>
    </w:p>
    <w:p w14:paraId="3400399E" w14:textId="77777777" w:rsidR="008C7D24" w:rsidRPr="00E7492D" w:rsidRDefault="008C7D24" w:rsidP="008C7D24">
      <w:pPr>
        <w:spacing w:line="281" w:lineRule="auto"/>
        <w:jc w:val="both"/>
        <w:rPr>
          <w:rFonts w:ascii="Arial" w:hAnsi="Arial" w:cs="Arial"/>
          <w:iCs/>
          <w:lang w:val="en-US"/>
        </w:rPr>
      </w:pPr>
      <w:r w:rsidRPr="00E7492D">
        <w:rPr>
          <w:rFonts w:ascii="Arial" w:hAnsi="Arial" w:cs="Arial"/>
          <w:iCs/>
          <w:lang w:val="en-US"/>
        </w:rPr>
        <w:t xml:space="preserve">After more than 6,000 installed machining centers of the </w:t>
      </w:r>
      <w:proofErr w:type="spellStart"/>
      <w:r w:rsidRPr="00E7492D">
        <w:rPr>
          <w:rFonts w:ascii="Arial" w:hAnsi="Arial" w:cs="Arial"/>
          <w:iCs/>
          <w:lang w:val="en-US"/>
        </w:rPr>
        <w:t>monoBLOCK</w:t>
      </w:r>
      <w:proofErr w:type="spellEnd"/>
      <w:r w:rsidRPr="00E7492D">
        <w:rPr>
          <w:rFonts w:ascii="Arial" w:hAnsi="Arial" w:cs="Arial"/>
          <w:iCs/>
          <w:lang w:val="en-US"/>
        </w:rPr>
        <w:t xml:space="preserve"> series, DMG MORI now presents the second generation of the successful machine concept. The new DMU 65 </w:t>
      </w:r>
      <w:proofErr w:type="spellStart"/>
      <w:r w:rsidRPr="00E7492D">
        <w:rPr>
          <w:rFonts w:ascii="Arial" w:hAnsi="Arial" w:cs="Arial"/>
          <w:iCs/>
          <w:lang w:val="en-US"/>
        </w:rPr>
        <w:t>monoBLOCK</w:t>
      </w:r>
      <w:proofErr w:type="spellEnd"/>
      <w:r w:rsidRPr="00E7492D">
        <w:rPr>
          <w:rFonts w:ascii="Arial" w:hAnsi="Arial" w:cs="Arial"/>
          <w:iCs/>
          <w:lang w:val="en-US"/>
        </w:rPr>
        <w:t xml:space="preserve"> 2</w:t>
      </w:r>
      <w:r w:rsidRPr="00E7492D">
        <w:rPr>
          <w:rFonts w:ascii="Arial" w:hAnsi="Arial" w:cs="Arial"/>
          <w:iCs/>
          <w:vertAlign w:val="superscript"/>
          <w:lang w:val="en-US"/>
        </w:rPr>
        <w:t>nd</w:t>
      </w:r>
      <w:r w:rsidRPr="00E7492D">
        <w:rPr>
          <w:rFonts w:ascii="Arial" w:hAnsi="Arial" w:cs="Arial"/>
          <w:iCs/>
          <w:lang w:val="en-US"/>
        </w:rPr>
        <w:t xml:space="preserve"> Generation as well as the package machine DMU 75 </w:t>
      </w:r>
      <w:proofErr w:type="spellStart"/>
      <w:r w:rsidRPr="00E7492D">
        <w:rPr>
          <w:rFonts w:ascii="Arial" w:hAnsi="Arial" w:cs="Arial"/>
          <w:iCs/>
          <w:lang w:val="en-US"/>
        </w:rPr>
        <w:t>monoBLOCK</w:t>
      </w:r>
      <w:proofErr w:type="spellEnd"/>
      <w:r w:rsidRPr="00E7492D">
        <w:rPr>
          <w:rFonts w:ascii="Arial" w:hAnsi="Arial" w:cs="Arial"/>
          <w:iCs/>
          <w:lang w:val="en-US"/>
        </w:rPr>
        <w:t xml:space="preserve"> 2</w:t>
      </w:r>
      <w:r w:rsidRPr="00E7492D">
        <w:rPr>
          <w:rFonts w:ascii="Arial" w:hAnsi="Arial" w:cs="Arial"/>
          <w:iCs/>
          <w:vertAlign w:val="superscript"/>
          <w:lang w:val="en-US"/>
        </w:rPr>
        <w:t>nd</w:t>
      </w:r>
      <w:r w:rsidRPr="00E7492D">
        <w:rPr>
          <w:rFonts w:ascii="Arial" w:hAnsi="Arial" w:cs="Arial"/>
          <w:iCs/>
          <w:lang w:val="en-US"/>
        </w:rPr>
        <w:t xml:space="preserve"> Generation appear in the ergonomic stealth design and impress with all-round optimized accuracy. The accuracy of the </w:t>
      </w:r>
      <w:proofErr w:type="spellStart"/>
      <w:r w:rsidRPr="00E7492D">
        <w:rPr>
          <w:rFonts w:ascii="Arial" w:hAnsi="Arial" w:cs="Arial"/>
          <w:iCs/>
          <w:lang w:val="en-US"/>
        </w:rPr>
        <w:t>monoBLOCK</w:t>
      </w:r>
      <w:proofErr w:type="spellEnd"/>
      <w:r w:rsidRPr="00E7492D">
        <w:rPr>
          <w:rFonts w:ascii="Arial" w:hAnsi="Arial" w:cs="Arial"/>
          <w:iCs/>
          <w:lang w:val="en-US"/>
        </w:rPr>
        <w:t xml:space="preserve"> 2</w:t>
      </w:r>
      <w:r w:rsidRPr="00E7492D">
        <w:rPr>
          <w:rFonts w:ascii="Arial" w:hAnsi="Arial" w:cs="Arial"/>
          <w:iCs/>
          <w:vertAlign w:val="superscript"/>
          <w:lang w:val="en-US"/>
        </w:rPr>
        <w:t>nd</w:t>
      </w:r>
      <w:r w:rsidRPr="00E7492D">
        <w:rPr>
          <w:rFonts w:ascii="Arial" w:hAnsi="Arial" w:cs="Arial"/>
          <w:iCs/>
          <w:lang w:val="en-US"/>
        </w:rPr>
        <w:t xml:space="preserve"> Generation has been improved by 20 percent. A positioning accuracy of 4 µm is guaranteed as standard. Level 4 connectivity with IO-Link sensors and preparation for an automation interface are already on board as standard. In the further development of the </w:t>
      </w:r>
      <w:proofErr w:type="spellStart"/>
      <w:r w:rsidRPr="00E7492D">
        <w:rPr>
          <w:rFonts w:ascii="Arial" w:hAnsi="Arial" w:cs="Arial"/>
          <w:iCs/>
          <w:lang w:val="en-US"/>
        </w:rPr>
        <w:t>monoBLOCK</w:t>
      </w:r>
      <w:proofErr w:type="spellEnd"/>
      <w:r w:rsidRPr="00E7492D">
        <w:rPr>
          <w:rFonts w:ascii="Arial" w:hAnsi="Arial" w:cs="Arial"/>
          <w:iCs/>
          <w:lang w:val="en-US"/>
        </w:rPr>
        <w:t xml:space="preserve"> concept, DMG MORI has remained true to the strengths of the predecessor machines: Ergonomics, versatility and precision also characterize the new DMU 65/75 </w:t>
      </w:r>
      <w:proofErr w:type="spellStart"/>
      <w:r w:rsidRPr="00E7492D">
        <w:rPr>
          <w:rFonts w:ascii="Arial" w:hAnsi="Arial" w:cs="Arial"/>
          <w:iCs/>
          <w:lang w:val="en-US"/>
        </w:rPr>
        <w:t>monoBLOCK</w:t>
      </w:r>
      <w:proofErr w:type="spellEnd"/>
      <w:r w:rsidRPr="00E7492D">
        <w:rPr>
          <w:rFonts w:ascii="Arial" w:hAnsi="Arial" w:cs="Arial"/>
          <w:iCs/>
          <w:lang w:val="en-US"/>
        </w:rPr>
        <w:t xml:space="preserve"> 2</w:t>
      </w:r>
      <w:r w:rsidRPr="00E7492D">
        <w:rPr>
          <w:rFonts w:ascii="Arial" w:hAnsi="Arial" w:cs="Arial"/>
          <w:iCs/>
          <w:vertAlign w:val="superscript"/>
          <w:lang w:val="en-US"/>
        </w:rPr>
        <w:t>nd</w:t>
      </w:r>
      <w:r w:rsidRPr="00E7492D">
        <w:rPr>
          <w:rFonts w:ascii="Arial" w:hAnsi="Arial" w:cs="Arial"/>
          <w:iCs/>
          <w:lang w:val="en-US"/>
        </w:rPr>
        <w:t xml:space="preserve"> Generation. The optimization of the </w:t>
      </w:r>
      <w:proofErr w:type="spellStart"/>
      <w:r w:rsidRPr="00E7492D">
        <w:rPr>
          <w:rFonts w:ascii="Arial" w:hAnsi="Arial" w:cs="Arial"/>
          <w:iCs/>
          <w:lang w:val="en-US"/>
        </w:rPr>
        <w:t>monoBLOCK</w:t>
      </w:r>
      <w:proofErr w:type="spellEnd"/>
      <w:r w:rsidRPr="00E7492D">
        <w:rPr>
          <w:rFonts w:ascii="Arial" w:hAnsi="Arial" w:cs="Arial"/>
          <w:iCs/>
          <w:lang w:val="en-US"/>
        </w:rPr>
        <w:t xml:space="preserve"> concept lies primarily in the components that are instrumental in ensuring high-precision machining. The ball screws of the X and Y axes are directly driven and feature extensive cooling measures, while the helical gear train of the rigid NC swivel rotary table ensures optimum surfaces even in continuous operation. In addition, </w:t>
      </w:r>
      <w:proofErr w:type="spellStart"/>
      <w:r w:rsidRPr="00E7492D">
        <w:rPr>
          <w:rFonts w:ascii="Arial" w:hAnsi="Arial" w:cs="Arial"/>
          <w:iCs/>
          <w:lang w:val="en-US"/>
        </w:rPr>
        <w:t>thermosymmetrical</w:t>
      </w:r>
      <w:proofErr w:type="spellEnd"/>
      <w:r w:rsidRPr="00E7492D">
        <w:rPr>
          <w:rFonts w:ascii="Arial" w:hAnsi="Arial" w:cs="Arial"/>
          <w:iCs/>
          <w:lang w:val="en-US"/>
        </w:rPr>
        <w:t xml:space="preserve"> cooling of the slide reduces inaccuracies. Temperature stability has been increased by 20 percent as a result of the improvements.</w:t>
      </w:r>
    </w:p>
    <w:p w14:paraId="07AF22C4" w14:textId="55627C41" w:rsidR="008C7D24" w:rsidRPr="00E7492D" w:rsidRDefault="00610E77" w:rsidP="008C7D24">
      <w:pPr>
        <w:spacing w:line="281" w:lineRule="auto"/>
        <w:jc w:val="center"/>
        <w:rPr>
          <w:rFonts w:ascii="Arial" w:hAnsi="Arial" w:cs="Arial"/>
          <w:lang w:val="de-DE"/>
        </w:rPr>
      </w:pPr>
      <w:r w:rsidRPr="00E7492D">
        <w:rPr>
          <w:rFonts w:ascii="Arial" w:hAnsi="Arial" w:cs="Arial"/>
          <w:noProof/>
          <w:lang w:val="de-DE"/>
        </w:rPr>
        <w:lastRenderedPageBreak/>
        <w:drawing>
          <wp:inline distT="0" distB="0" distL="0" distR="0" wp14:anchorId="3E45A507" wp14:editId="783EEBD3">
            <wp:extent cx="4281114" cy="369570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75"/>
                    <a:stretch/>
                  </pic:blipFill>
                  <pic:spPr bwMode="auto">
                    <a:xfrm>
                      <a:off x="0" y="0"/>
                      <a:ext cx="4281712" cy="3696216"/>
                    </a:xfrm>
                    <a:prstGeom prst="rect">
                      <a:avLst/>
                    </a:prstGeom>
                    <a:ln>
                      <a:noFill/>
                    </a:ln>
                    <a:extLst>
                      <a:ext uri="{53640926-AAD7-44D8-BBD7-CCE9431645EC}">
                        <a14:shadowObscured xmlns:a14="http://schemas.microsoft.com/office/drawing/2010/main"/>
                      </a:ext>
                    </a:extLst>
                  </pic:spPr>
                </pic:pic>
              </a:graphicData>
            </a:graphic>
          </wp:inline>
        </w:drawing>
      </w:r>
    </w:p>
    <w:p w14:paraId="42AF1EDA" w14:textId="2F0D53E3" w:rsidR="00457221" w:rsidRPr="00E7492D" w:rsidRDefault="008C7D24" w:rsidP="00BF3F36">
      <w:pPr>
        <w:spacing w:line="281" w:lineRule="auto"/>
        <w:jc w:val="center"/>
        <w:rPr>
          <w:rFonts w:ascii="Arial" w:hAnsi="Arial" w:cs="Arial"/>
          <w:iCs/>
          <w:lang w:val="en-US"/>
        </w:rPr>
      </w:pPr>
      <w:r w:rsidRPr="00E7492D">
        <w:rPr>
          <w:rFonts w:ascii="Arial" w:hAnsi="Arial" w:cs="Arial"/>
          <w:i/>
          <w:iCs/>
          <w:lang w:val="en-US"/>
        </w:rPr>
        <w:t xml:space="preserve">Optimized components for even more machining quality: Also in the second generation, the </w:t>
      </w:r>
      <w:proofErr w:type="spellStart"/>
      <w:r w:rsidRPr="00E7492D">
        <w:rPr>
          <w:rFonts w:ascii="Arial" w:hAnsi="Arial" w:cs="Arial"/>
          <w:i/>
          <w:iCs/>
          <w:lang w:val="en-US"/>
        </w:rPr>
        <w:t>monoBLOCK</w:t>
      </w:r>
      <w:proofErr w:type="spellEnd"/>
      <w:r w:rsidRPr="00E7492D">
        <w:rPr>
          <w:rFonts w:ascii="Arial" w:hAnsi="Arial" w:cs="Arial"/>
          <w:i/>
          <w:iCs/>
          <w:lang w:val="en-US"/>
        </w:rPr>
        <w:t xml:space="preserve"> series from DMG MORI stands for versatility, ergonomics and precision.</w:t>
      </w:r>
      <w:r w:rsidRPr="00E7492D">
        <w:rPr>
          <w:rFonts w:ascii="Arial" w:hAnsi="Arial" w:cs="Arial"/>
          <w:i/>
          <w:iCs/>
          <w:lang w:val="en-US"/>
        </w:rPr>
        <w:br/>
      </w:r>
      <w:r w:rsidRPr="00E7492D">
        <w:rPr>
          <w:rFonts w:ascii="Arial" w:hAnsi="Arial" w:cs="Arial"/>
          <w:iCs/>
          <w:lang w:val="en-US"/>
        </w:rPr>
        <w:t xml:space="preserve"> </w:t>
      </w:r>
    </w:p>
    <w:p w14:paraId="2D553A7D" w14:textId="77777777" w:rsidR="0011727B" w:rsidRPr="00E7492D" w:rsidRDefault="0011727B" w:rsidP="0011727B">
      <w:pPr>
        <w:spacing w:line="281" w:lineRule="auto"/>
        <w:jc w:val="both"/>
        <w:rPr>
          <w:rFonts w:ascii="Arial" w:hAnsi="Arial" w:cs="Arial"/>
          <w:iCs/>
          <w:lang w:val="en-US"/>
        </w:rPr>
      </w:pPr>
    </w:p>
    <w:p w14:paraId="114E074B" w14:textId="77777777" w:rsidR="00552874" w:rsidRPr="00E7492D" w:rsidRDefault="00552874" w:rsidP="00552874">
      <w:pPr>
        <w:spacing w:line="281" w:lineRule="auto"/>
        <w:jc w:val="both"/>
        <w:rPr>
          <w:rFonts w:ascii="Arial" w:hAnsi="Arial" w:cs="Arial"/>
          <w:b/>
          <w:bCs/>
          <w:iCs/>
          <w:lang w:val="en-US"/>
        </w:rPr>
      </w:pPr>
      <w:r w:rsidRPr="00E7492D">
        <w:rPr>
          <w:rFonts w:ascii="Arial" w:hAnsi="Arial" w:cs="Arial"/>
          <w:b/>
          <w:bCs/>
          <w:iCs/>
          <w:lang w:val="en-US"/>
        </w:rPr>
        <w:t>Innovative moving column concept for maximum machining versatility</w:t>
      </w:r>
    </w:p>
    <w:p w14:paraId="76F34648" w14:textId="797A8011" w:rsidR="0011727B" w:rsidRPr="00E7492D" w:rsidRDefault="00552874" w:rsidP="00552874">
      <w:pPr>
        <w:spacing w:line="281" w:lineRule="auto"/>
        <w:jc w:val="both"/>
        <w:rPr>
          <w:rFonts w:ascii="Arial" w:hAnsi="Arial" w:cs="Arial"/>
          <w:iCs/>
          <w:lang w:val="en-US"/>
        </w:rPr>
      </w:pPr>
      <w:r w:rsidRPr="00E7492D">
        <w:rPr>
          <w:rFonts w:ascii="Arial" w:hAnsi="Arial" w:cs="Arial"/>
          <w:iCs/>
          <w:lang w:val="en-US"/>
        </w:rPr>
        <w:t>The newly designed DMF 200|8 and DMF 300|8 have raised the moving column machine segment at DMG MORI to a new level. Based on this consistent further development, the machine tool manufacturer is now also presenting the larger DMF 300|11, where rigidity has also been increased by 20 percent compared to the previous series. Its positioning accuracy is 5 µm thanks to the stable machine bed, three linear guides in the X axis and a holistic cooling concept. With traverse paths of 3,000 x 1,100 x 1,050 mm, DMG MORI was able to increase the work envelope by 40 percent, and the process-safe tool change behind the work table was also adopted from the smaller sister models. In the standard version, the tool magazine offers space for 40 tools with lengths of up to 400 mm. Constant projections also ensure consistent milling performance. In its ergonomic stealth design, the DMF 300|11 is also comfortable to operate and prepared for productive automation solutions.</w:t>
      </w:r>
    </w:p>
    <w:p w14:paraId="6DDC234D" w14:textId="6F308F65" w:rsidR="0011727B" w:rsidRPr="00E7492D" w:rsidRDefault="00CB425B" w:rsidP="0011727B">
      <w:pPr>
        <w:spacing w:line="281" w:lineRule="auto"/>
        <w:jc w:val="center"/>
        <w:rPr>
          <w:rFonts w:ascii="Arial" w:hAnsi="Arial" w:cs="Arial"/>
          <w:lang w:val="de-DE"/>
        </w:rPr>
      </w:pPr>
      <w:r w:rsidRPr="00E7492D">
        <w:rPr>
          <w:rFonts w:ascii="Arial" w:hAnsi="Arial" w:cs="Arial"/>
          <w:noProof/>
          <w:lang w:val="de-DE"/>
        </w:rPr>
        <w:lastRenderedPageBreak/>
        <w:drawing>
          <wp:inline distT="0" distB="0" distL="0" distR="0" wp14:anchorId="34FA0D5A" wp14:editId="361BB9CB">
            <wp:extent cx="4968875" cy="2703830"/>
            <wp:effectExtent l="0" t="0" r="317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8875" cy="2703830"/>
                    </a:xfrm>
                    <a:prstGeom prst="rect">
                      <a:avLst/>
                    </a:prstGeom>
                  </pic:spPr>
                </pic:pic>
              </a:graphicData>
            </a:graphic>
          </wp:inline>
        </w:drawing>
      </w:r>
    </w:p>
    <w:p w14:paraId="7AB83DA5" w14:textId="24DBD27E" w:rsidR="0011727B" w:rsidRPr="00E7492D" w:rsidRDefault="00552874" w:rsidP="00BF3F36">
      <w:pPr>
        <w:spacing w:line="281" w:lineRule="auto"/>
        <w:jc w:val="center"/>
        <w:rPr>
          <w:rFonts w:ascii="Arial" w:hAnsi="Arial" w:cs="Arial"/>
          <w:iCs/>
          <w:lang w:val="de-DE"/>
        </w:rPr>
      </w:pPr>
      <w:r w:rsidRPr="00E7492D">
        <w:rPr>
          <w:rFonts w:ascii="Arial" w:hAnsi="Arial" w:cs="Arial"/>
          <w:i/>
          <w:iCs/>
          <w:lang w:val="en-US"/>
        </w:rPr>
        <w:t xml:space="preserve">The </w:t>
      </w:r>
      <w:bookmarkStart w:id="0" w:name="_Hlk122512792"/>
      <w:r w:rsidRPr="00E7492D">
        <w:rPr>
          <w:rFonts w:ascii="Arial" w:hAnsi="Arial" w:cs="Arial"/>
          <w:i/>
          <w:iCs/>
          <w:lang w:val="en-US"/>
        </w:rPr>
        <w:t xml:space="preserve">DMF 300|11 </w:t>
      </w:r>
      <w:bookmarkEnd w:id="0"/>
      <w:r w:rsidRPr="00E7492D">
        <w:rPr>
          <w:rFonts w:ascii="Arial" w:hAnsi="Arial" w:cs="Arial"/>
          <w:i/>
          <w:iCs/>
          <w:lang w:val="en-US"/>
        </w:rPr>
        <w:t>enables high-precision machining over traverse paths of 3,000 x 1,100 x 1,050 mm</w:t>
      </w:r>
      <w:r w:rsidR="0011727B" w:rsidRPr="00E7492D">
        <w:rPr>
          <w:rFonts w:ascii="Arial" w:hAnsi="Arial" w:cs="Arial"/>
          <w:i/>
          <w:iCs/>
          <w:lang w:val="en-US"/>
        </w:rPr>
        <w:t>.</w:t>
      </w:r>
      <w:r w:rsidR="0011727B" w:rsidRPr="00E7492D">
        <w:rPr>
          <w:rFonts w:ascii="Arial" w:hAnsi="Arial" w:cs="Arial"/>
          <w:i/>
          <w:iCs/>
          <w:lang w:val="en-US"/>
        </w:rPr>
        <w:br/>
      </w:r>
    </w:p>
    <w:p w14:paraId="439822D4" w14:textId="77777777" w:rsidR="00457221" w:rsidRPr="00E7492D" w:rsidRDefault="00457221" w:rsidP="0011727B">
      <w:pPr>
        <w:spacing w:line="281" w:lineRule="auto"/>
        <w:jc w:val="both"/>
        <w:rPr>
          <w:rFonts w:ascii="Arial" w:hAnsi="Arial" w:cs="Arial"/>
          <w:iCs/>
          <w:lang w:val="de-DE"/>
        </w:rPr>
      </w:pPr>
    </w:p>
    <w:p w14:paraId="177081A7" w14:textId="77777777" w:rsidR="00552874" w:rsidRPr="00E7492D" w:rsidRDefault="00552874" w:rsidP="00552874">
      <w:pPr>
        <w:spacing w:line="281" w:lineRule="auto"/>
        <w:jc w:val="both"/>
        <w:rPr>
          <w:rFonts w:ascii="Arial" w:hAnsi="Arial" w:cs="Arial"/>
          <w:b/>
          <w:bCs/>
          <w:iCs/>
          <w:lang w:val="en-US"/>
        </w:rPr>
      </w:pPr>
      <w:r w:rsidRPr="00E7492D">
        <w:rPr>
          <w:rFonts w:ascii="Arial" w:hAnsi="Arial" w:cs="Arial"/>
          <w:b/>
          <w:bCs/>
          <w:iCs/>
          <w:lang w:val="en-US"/>
        </w:rPr>
        <w:t>Competitive through innovative automation solutions</w:t>
      </w:r>
    </w:p>
    <w:p w14:paraId="2A6AF651" w14:textId="6AA639D0" w:rsidR="0011727B" w:rsidRPr="00E7492D" w:rsidRDefault="00552874" w:rsidP="00552874">
      <w:pPr>
        <w:spacing w:line="281" w:lineRule="auto"/>
        <w:jc w:val="both"/>
        <w:rPr>
          <w:rFonts w:ascii="Arial" w:hAnsi="Arial" w:cs="Arial"/>
          <w:iCs/>
          <w:lang w:val="en-US"/>
        </w:rPr>
      </w:pPr>
      <w:r w:rsidRPr="00E7492D">
        <w:rPr>
          <w:rFonts w:ascii="Arial" w:hAnsi="Arial" w:cs="Arial"/>
          <w:iCs/>
          <w:lang w:val="en-US"/>
        </w:rPr>
        <w:t xml:space="preserve">Flexible automation of production processes is high on the agenda of an increasing number of companies. The quest for productivity and efficiency in order to remain competitive on the global market is driving this development. After all, the better the utilization of a production facility, the better its economic as well as ecological balance. DMG MORI has been shaping this development towards increasingly autonomous processes for many years with innovative automation solutions. The portfolio now comprises 57 automation solutions in 13 product lines for workpiece or pallet handling - including the complete hardware and software. In addition, there are the PH-AGV and WH-AMR automated guided vehicles. DMG MORI can thus equip and in many cases retrofit 150 different machine models. 14 exemplary automation solutions can be seen at the in-house exhibition in </w:t>
      </w:r>
      <w:proofErr w:type="spellStart"/>
      <w:r w:rsidRPr="00E7492D">
        <w:rPr>
          <w:rFonts w:ascii="Arial" w:hAnsi="Arial" w:cs="Arial"/>
          <w:iCs/>
          <w:lang w:val="en-US"/>
        </w:rPr>
        <w:t>Pfronten</w:t>
      </w:r>
      <w:proofErr w:type="spellEnd"/>
      <w:r w:rsidRPr="00E7492D">
        <w:rPr>
          <w:rFonts w:ascii="Arial" w:hAnsi="Arial" w:cs="Arial"/>
          <w:iCs/>
          <w:lang w:val="en-US"/>
        </w:rPr>
        <w:t>. Pallet handling systems such as the PH 150, the PH Cell series and the round pallet storage systems RPS 3 and RPS 9, the workpiece handling system WH 3 Cell as well as the robot automation systems MATRIS light and the Robo2Go family represent the broad spectrum.</w:t>
      </w:r>
    </w:p>
    <w:p w14:paraId="0604BE27" w14:textId="77777777" w:rsidR="007A1C1C" w:rsidRPr="00E7492D" w:rsidRDefault="007A1C1C" w:rsidP="00552874">
      <w:pPr>
        <w:spacing w:line="281" w:lineRule="auto"/>
        <w:jc w:val="both"/>
        <w:rPr>
          <w:rFonts w:ascii="Arial" w:hAnsi="Arial" w:cs="Arial"/>
          <w:iCs/>
          <w:lang w:val="en-US"/>
        </w:rPr>
      </w:pPr>
    </w:p>
    <w:p w14:paraId="64784203" w14:textId="3D912658" w:rsidR="0011727B" w:rsidRPr="00E7492D" w:rsidRDefault="008D6FEE" w:rsidP="0011727B">
      <w:pPr>
        <w:spacing w:line="281" w:lineRule="auto"/>
        <w:jc w:val="center"/>
        <w:rPr>
          <w:rFonts w:ascii="Arial" w:hAnsi="Arial" w:cs="Arial"/>
          <w:lang w:val="de-DE"/>
        </w:rPr>
      </w:pPr>
      <w:r w:rsidRPr="00E7492D">
        <w:rPr>
          <w:rFonts w:ascii="Arial" w:hAnsi="Arial" w:cs="Arial"/>
          <w:noProof/>
          <w:lang w:val="de-DE"/>
        </w:rPr>
        <w:lastRenderedPageBreak/>
        <w:drawing>
          <wp:inline distT="0" distB="0" distL="0" distR="0" wp14:anchorId="0478DCC2" wp14:editId="64A84E0C">
            <wp:extent cx="4968875" cy="3489960"/>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8875" cy="3489960"/>
                    </a:xfrm>
                    <a:prstGeom prst="rect">
                      <a:avLst/>
                    </a:prstGeom>
                  </pic:spPr>
                </pic:pic>
              </a:graphicData>
            </a:graphic>
          </wp:inline>
        </w:drawing>
      </w:r>
    </w:p>
    <w:p w14:paraId="74895CF4" w14:textId="235844E0" w:rsidR="0011727B" w:rsidRPr="00E7492D" w:rsidRDefault="00552874" w:rsidP="0011727B">
      <w:pPr>
        <w:spacing w:line="281" w:lineRule="auto"/>
        <w:jc w:val="center"/>
        <w:rPr>
          <w:rFonts w:ascii="Arial" w:hAnsi="Arial" w:cs="Arial"/>
          <w:i/>
          <w:iCs/>
          <w:lang w:val="en-US"/>
        </w:rPr>
      </w:pPr>
      <w:r w:rsidRPr="00E7492D">
        <w:rPr>
          <w:rFonts w:ascii="Arial" w:hAnsi="Arial" w:cs="Arial"/>
          <w:i/>
          <w:iCs/>
          <w:lang w:val="en-US"/>
        </w:rPr>
        <w:t>DMG MORI's portfolio comprises 57 automation solutions in 13 product lines for machine-specific, universal and scalable solutions, including the complete hardware and software: from machines with tool and pallet change, flexible manufacturing cells – to automatic tool supply (CTS), driverless transport vehicles (AGV &amp; AMR) and the various turnkey expansion stages of flexible manufacturing systems, such as LPP or MATRIS, rounded off by the DMG MORI CELL CONTROLLER LPS 4</w:t>
      </w:r>
      <w:r w:rsidR="0011727B" w:rsidRPr="00E7492D">
        <w:rPr>
          <w:rFonts w:ascii="Arial" w:hAnsi="Arial" w:cs="Arial"/>
          <w:i/>
          <w:iCs/>
          <w:lang w:val="en-US"/>
        </w:rPr>
        <w:t>.</w:t>
      </w:r>
    </w:p>
    <w:p w14:paraId="6E6CD9DD" w14:textId="77777777" w:rsidR="00552874" w:rsidRPr="00E7492D" w:rsidRDefault="00552874" w:rsidP="0011727B">
      <w:pPr>
        <w:spacing w:line="281" w:lineRule="auto"/>
        <w:jc w:val="both"/>
        <w:rPr>
          <w:rFonts w:ascii="Arial" w:hAnsi="Arial" w:cs="Arial"/>
          <w:lang w:val="en-US"/>
        </w:rPr>
      </w:pPr>
    </w:p>
    <w:p w14:paraId="2423FE3F" w14:textId="77777777" w:rsidR="00552874" w:rsidRPr="00E7492D" w:rsidRDefault="00552874" w:rsidP="0011727B">
      <w:pPr>
        <w:spacing w:line="281" w:lineRule="auto"/>
        <w:jc w:val="both"/>
        <w:rPr>
          <w:rFonts w:ascii="Arial" w:hAnsi="Arial" w:cs="Arial"/>
          <w:lang w:val="en-US"/>
        </w:rPr>
      </w:pPr>
    </w:p>
    <w:p w14:paraId="273BCDC8" w14:textId="77777777" w:rsidR="00552874" w:rsidRPr="00E7492D" w:rsidRDefault="00552874" w:rsidP="00552874">
      <w:pPr>
        <w:spacing w:line="281" w:lineRule="auto"/>
        <w:jc w:val="both"/>
        <w:rPr>
          <w:rFonts w:ascii="Arial" w:hAnsi="Arial" w:cs="Arial"/>
          <w:b/>
          <w:bCs/>
          <w:iCs/>
          <w:lang w:val="en-US"/>
        </w:rPr>
      </w:pPr>
      <w:r w:rsidRPr="00E7492D">
        <w:rPr>
          <w:rFonts w:ascii="Arial" w:hAnsi="Arial" w:cs="Arial"/>
          <w:b/>
          <w:bCs/>
          <w:iCs/>
          <w:lang w:val="en-US"/>
        </w:rPr>
        <w:t>Flexible tool magazine for up to 1,440 tools</w:t>
      </w:r>
    </w:p>
    <w:p w14:paraId="12283420" w14:textId="77777777" w:rsidR="00552874" w:rsidRPr="00E7492D" w:rsidRDefault="00552874" w:rsidP="00552874">
      <w:pPr>
        <w:spacing w:line="281" w:lineRule="auto"/>
        <w:jc w:val="both"/>
        <w:rPr>
          <w:rFonts w:ascii="Arial" w:hAnsi="Arial" w:cs="Arial"/>
          <w:iCs/>
          <w:lang w:val="en-US"/>
        </w:rPr>
      </w:pPr>
      <w:r w:rsidRPr="00E7492D">
        <w:rPr>
          <w:rFonts w:ascii="Arial" w:hAnsi="Arial" w:cs="Arial"/>
          <w:iCs/>
          <w:lang w:val="en-US"/>
        </w:rPr>
        <w:t xml:space="preserve">The wheel magazine developed by DMG MORI, which has been sold over 1,600 times, offers fast provisioning times, a compact design and operates absolutely reliably. Based on this technology, the machine tool manufacturer has developed the CTS (Central Tool Storage), a central tool magazine. Thanks to a footprint of just 29 m², it can be installed in a space-saving manner at any location in production. There, with space for up to 1,440 (ISO 40) or 960 (ISO 50) tools, it functions as the basis for an automated tool supply system, which DMG MORI will demonstrate in </w:t>
      </w:r>
      <w:proofErr w:type="spellStart"/>
      <w:r w:rsidRPr="00E7492D">
        <w:rPr>
          <w:rFonts w:ascii="Arial" w:hAnsi="Arial" w:cs="Arial"/>
          <w:iCs/>
          <w:lang w:val="en-US"/>
        </w:rPr>
        <w:t>Pfronten</w:t>
      </w:r>
      <w:proofErr w:type="spellEnd"/>
      <w:r w:rsidRPr="00E7492D">
        <w:rPr>
          <w:rFonts w:ascii="Arial" w:hAnsi="Arial" w:cs="Arial"/>
          <w:iCs/>
          <w:lang w:val="en-US"/>
        </w:rPr>
        <w:t xml:space="preserve"> by means of a transport shuttle. The modular tool magazine has a compact design and can also be expanded in stages by 360 (ISO</w:t>
      </w:r>
    </w:p>
    <w:p w14:paraId="7D0A5795" w14:textId="77777777" w:rsidR="00552874" w:rsidRPr="00E7492D" w:rsidRDefault="00552874" w:rsidP="00552874">
      <w:pPr>
        <w:spacing w:line="281" w:lineRule="auto"/>
        <w:jc w:val="both"/>
        <w:rPr>
          <w:rFonts w:ascii="Arial" w:hAnsi="Arial" w:cs="Arial"/>
          <w:iCs/>
          <w:lang w:val="en-US"/>
        </w:rPr>
      </w:pPr>
      <w:r w:rsidRPr="00E7492D">
        <w:rPr>
          <w:rFonts w:ascii="Arial" w:hAnsi="Arial" w:cs="Arial"/>
          <w:iCs/>
          <w:lang w:val="en-US"/>
        </w:rPr>
        <w:t>40) or 240 (ISO 50) tools. At full capacity, the CTS measures 6,500 x 4,450 mm.</w:t>
      </w:r>
    </w:p>
    <w:p w14:paraId="01A718D2" w14:textId="45B6488E" w:rsidR="0011727B" w:rsidRPr="00E7492D" w:rsidRDefault="00552874" w:rsidP="00552874">
      <w:pPr>
        <w:spacing w:line="281" w:lineRule="auto"/>
        <w:jc w:val="both"/>
        <w:rPr>
          <w:rFonts w:ascii="Arial" w:hAnsi="Arial" w:cs="Arial"/>
          <w:b/>
          <w:i/>
          <w:iCs/>
          <w:lang w:val="en-US"/>
        </w:rPr>
      </w:pPr>
      <w:r w:rsidRPr="00E7492D">
        <w:rPr>
          <w:rFonts w:ascii="Arial" w:hAnsi="Arial" w:cs="Arial"/>
          <w:iCs/>
          <w:lang w:val="en-US"/>
        </w:rPr>
        <w:lastRenderedPageBreak/>
        <w:t xml:space="preserve"> </w:t>
      </w:r>
      <w:r w:rsidR="0011727B" w:rsidRPr="00E7492D">
        <w:rPr>
          <w:rFonts w:ascii="Arial" w:hAnsi="Arial" w:cs="Arial"/>
          <w:b/>
          <w:i/>
          <w:iCs/>
          <w:noProof/>
          <w:lang w:val="de-DE"/>
        </w:rPr>
        <w:drawing>
          <wp:inline distT="0" distB="0" distL="0" distR="0" wp14:anchorId="0063EE62" wp14:editId="14BCDD20">
            <wp:extent cx="4968875" cy="3320415"/>
            <wp:effectExtent l="0" t="0" r="3175" b="0"/>
            <wp:docPr id="10" name="Grafik 10" descr="Ein Bild, das Kas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sten enthält.&#10;&#10;Automatisch generierte Beschreibung"/>
                    <pic:cNvPicPr/>
                  </pic:nvPicPr>
                  <pic:blipFill>
                    <a:blip r:embed="rId15"/>
                    <a:stretch>
                      <a:fillRect/>
                    </a:stretch>
                  </pic:blipFill>
                  <pic:spPr>
                    <a:xfrm>
                      <a:off x="0" y="0"/>
                      <a:ext cx="4968875" cy="3320415"/>
                    </a:xfrm>
                    <a:prstGeom prst="rect">
                      <a:avLst/>
                    </a:prstGeom>
                  </pic:spPr>
                </pic:pic>
              </a:graphicData>
            </a:graphic>
          </wp:inline>
        </w:drawing>
      </w:r>
    </w:p>
    <w:p w14:paraId="026FDA67" w14:textId="77777777" w:rsidR="0011727B" w:rsidRPr="00E7492D" w:rsidRDefault="0011727B" w:rsidP="0011727B">
      <w:pPr>
        <w:spacing w:line="281" w:lineRule="auto"/>
        <w:jc w:val="center"/>
        <w:rPr>
          <w:rFonts w:ascii="Arial" w:hAnsi="Arial" w:cs="Arial"/>
          <w:b/>
          <w:i/>
          <w:iCs/>
          <w:lang w:val="en-US"/>
        </w:rPr>
      </w:pPr>
    </w:p>
    <w:p w14:paraId="181A580B" w14:textId="6D4509F7" w:rsidR="0011727B" w:rsidRPr="00E7492D" w:rsidRDefault="0011727B" w:rsidP="0011727B">
      <w:pPr>
        <w:spacing w:line="281" w:lineRule="auto"/>
        <w:jc w:val="center"/>
        <w:rPr>
          <w:rFonts w:ascii="Arial" w:hAnsi="Arial" w:cs="Arial"/>
          <w:bCs/>
          <w:i/>
          <w:iCs/>
          <w:lang w:val="en-US"/>
        </w:rPr>
      </w:pPr>
      <w:r w:rsidRPr="00E7492D">
        <w:rPr>
          <w:rFonts w:ascii="Arial" w:hAnsi="Arial" w:cs="Arial"/>
          <w:bCs/>
          <w:i/>
          <w:iCs/>
          <w:lang w:val="en-US"/>
        </w:rPr>
        <w:t xml:space="preserve">CTS – Central Tool Storage: </w:t>
      </w:r>
      <w:r w:rsidR="00552874" w:rsidRPr="00E7492D">
        <w:rPr>
          <w:rFonts w:ascii="Arial" w:hAnsi="Arial" w:cs="Arial"/>
          <w:bCs/>
          <w:i/>
          <w:iCs/>
          <w:lang w:val="en-US"/>
        </w:rPr>
        <w:t>flexible tool magazine for up to</w:t>
      </w:r>
      <w:r w:rsidRPr="00E7492D">
        <w:rPr>
          <w:rFonts w:ascii="Arial" w:hAnsi="Arial" w:cs="Arial"/>
          <w:bCs/>
          <w:i/>
          <w:iCs/>
          <w:lang w:val="en-US"/>
        </w:rPr>
        <w:t xml:space="preserve"> </w:t>
      </w:r>
      <w:r w:rsidRPr="00E7492D">
        <w:rPr>
          <w:rFonts w:ascii="Arial" w:hAnsi="Arial" w:cs="Arial"/>
          <w:bCs/>
          <w:i/>
          <w:iCs/>
          <w:lang w:val="en-US"/>
        </w:rPr>
        <w:br/>
        <w:t xml:space="preserve">1.440 </w:t>
      </w:r>
      <w:r w:rsidR="00552874" w:rsidRPr="00E7492D">
        <w:rPr>
          <w:rFonts w:ascii="Arial" w:hAnsi="Arial" w:cs="Arial"/>
          <w:bCs/>
          <w:i/>
          <w:iCs/>
          <w:lang w:val="en-US"/>
        </w:rPr>
        <w:t>tools.</w:t>
      </w:r>
    </w:p>
    <w:p w14:paraId="3C0DFA79" w14:textId="77777777" w:rsidR="0011727B" w:rsidRPr="00E7492D" w:rsidRDefault="0011727B" w:rsidP="0011727B">
      <w:pPr>
        <w:spacing w:line="281" w:lineRule="auto"/>
        <w:jc w:val="both"/>
        <w:rPr>
          <w:rFonts w:ascii="Arial" w:hAnsi="Arial" w:cs="Arial"/>
          <w:iCs/>
          <w:lang w:val="en-US"/>
        </w:rPr>
      </w:pPr>
    </w:p>
    <w:p w14:paraId="7F4EC0E8" w14:textId="77777777" w:rsidR="0011727B" w:rsidRPr="00E7492D" w:rsidRDefault="0011727B" w:rsidP="0011727B">
      <w:pPr>
        <w:spacing w:line="281" w:lineRule="auto"/>
        <w:jc w:val="both"/>
        <w:rPr>
          <w:rFonts w:ascii="Arial" w:hAnsi="Arial" w:cs="Arial"/>
          <w:iCs/>
          <w:lang w:val="en-US"/>
        </w:rPr>
      </w:pPr>
    </w:p>
    <w:p w14:paraId="05B92ADD" w14:textId="77777777" w:rsidR="00552874" w:rsidRPr="00E7492D" w:rsidRDefault="00552874" w:rsidP="00552874">
      <w:pPr>
        <w:spacing w:line="281" w:lineRule="auto"/>
        <w:jc w:val="both"/>
        <w:rPr>
          <w:rFonts w:ascii="Arial" w:hAnsi="Arial" w:cs="Arial"/>
          <w:b/>
          <w:bCs/>
          <w:iCs/>
          <w:lang w:val="en-US"/>
        </w:rPr>
      </w:pPr>
      <w:r w:rsidRPr="00E7492D">
        <w:rPr>
          <w:rFonts w:ascii="Arial" w:hAnsi="Arial" w:cs="Arial"/>
          <w:b/>
          <w:bCs/>
          <w:iCs/>
          <w:lang w:val="en-US"/>
        </w:rPr>
        <w:t>Efficient high-speed cutting at 30,000 min</w:t>
      </w:r>
      <w:r w:rsidRPr="00E7492D">
        <w:rPr>
          <w:rFonts w:ascii="Arial" w:hAnsi="Arial" w:cs="Arial"/>
          <w:b/>
          <w:bCs/>
          <w:iCs/>
          <w:vertAlign w:val="superscript"/>
          <w:lang w:val="en-US"/>
        </w:rPr>
        <w:t>-1</w:t>
      </w:r>
    </w:p>
    <w:p w14:paraId="6C73868E" w14:textId="3F80C1FD" w:rsidR="0011727B" w:rsidRPr="00552874" w:rsidRDefault="00552874" w:rsidP="00552874">
      <w:pPr>
        <w:spacing w:line="281" w:lineRule="auto"/>
        <w:jc w:val="both"/>
        <w:rPr>
          <w:rFonts w:ascii="Arial" w:hAnsi="Arial" w:cs="Arial"/>
          <w:iCs/>
          <w:lang w:val="en-US"/>
        </w:rPr>
      </w:pPr>
      <w:r w:rsidRPr="00E7492D">
        <w:rPr>
          <w:rFonts w:ascii="Arial" w:hAnsi="Arial" w:cs="Arial"/>
          <w:iCs/>
          <w:lang w:val="en-US"/>
        </w:rPr>
        <w:t xml:space="preserve">DMG MORI Components, such as the extensive spindle portfolio of the machine tool manufacturer, contribute significantly to quality and reliability in machining. Many years of experience and technical know-how flow into the products developed and manufactured by DMG MORI </w:t>
      </w:r>
      <w:r w:rsidR="00457221" w:rsidRPr="00E7492D">
        <w:rPr>
          <w:rFonts w:ascii="Arial" w:hAnsi="Arial" w:cs="Arial"/>
          <w:iCs/>
          <w:lang w:val="en-US"/>
        </w:rPr>
        <w:t>–</w:t>
      </w:r>
      <w:r w:rsidRPr="00E7492D">
        <w:rPr>
          <w:rFonts w:ascii="Arial" w:hAnsi="Arial" w:cs="Arial"/>
          <w:iCs/>
          <w:lang w:val="en-US"/>
        </w:rPr>
        <w:t xml:space="preserve"> as in the case of the </w:t>
      </w:r>
      <w:proofErr w:type="spellStart"/>
      <w:r w:rsidRPr="00E7492D">
        <w:rPr>
          <w:rFonts w:ascii="Arial" w:hAnsi="Arial" w:cs="Arial"/>
          <w:iCs/>
          <w:lang w:val="en-US"/>
        </w:rPr>
        <w:t>speedMASTER</w:t>
      </w:r>
      <w:proofErr w:type="spellEnd"/>
      <w:r w:rsidRPr="00E7492D">
        <w:rPr>
          <w:rFonts w:ascii="Arial" w:hAnsi="Arial" w:cs="Arial"/>
          <w:iCs/>
          <w:lang w:val="en-US"/>
        </w:rPr>
        <w:t xml:space="preserve"> 30k. The new high-speed spindle achieves a speed of up to 30,000</w:t>
      </w:r>
      <w:r w:rsidR="00457221" w:rsidRPr="00E7492D">
        <w:rPr>
          <w:rFonts w:ascii="Arial" w:hAnsi="Arial" w:cs="Arial"/>
          <w:iCs/>
          <w:lang w:val="en-US"/>
        </w:rPr>
        <w:t> </w:t>
      </w:r>
      <w:r w:rsidRPr="00E7492D">
        <w:rPr>
          <w:rFonts w:ascii="Arial" w:hAnsi="Arial" w:cs="Arial"/>
          <w:iCs/>
          <w:lang w:val="en-US"/>
        </w:rPr>
        <w:t xml:space="preserve">rpm. </w:t>
      </w:r>
      <w:proofErr w:type="spellStart"/>
      <w:r w:rsidRPr="00E7492D">
        <w:rPr>
          <w:rFonts w:ascii="Arial" w:hAnsi="Arial" w:cs="Arial"/>
          <w:iCs/>
          <w:lang w:val="en-US"/>
        </w:rPr>
        <w:t>speedMASTER</w:t>
      </w:r>
      <w:proofErr w:type="spellEnd"/>
      <w:r w:rsidRPr="00E7492D">
        <w:rPr>
          <w:rFonts w:ascii="Arial" w:hAnsi="Arial" w:cs="Arial"/>
          <w:iCs/>
          <w:lang w:val="en-US"/>
        </w:rPr>
        <w:t xml:space="preserve"> spindles are designed for high-speed milling applications and are used in horizontal and vertical machining centers such as the NHX 4000/5000 3</w:t>
      </w:r>
      <w:r w:rsidRPr="00E7492D">
        <w:rPr>
          <w:rFonts w:ascii="Arial" w:hAnsi="Arial" w:cs="Arial"/>
          <w:iCs/>
          <w:vertAlign w:val="superscript"/>
          <w:lang w:val="en-US"/>
        </w:rPr>
        <w:t>rd</w:t>
      </w:r>
      <w:r w:rsidRPr="00E7492D">
        <w:rPr>
          <w:rFonts w:ascii="Arial" w:hAnsi="Arial" w:cs="Arial"/>
          <w:iCs/>
          <w:lang w:val="en-US"/>
        </w:rPr>
        <w:t xml:space="preserve"> Generation and NVX 5000 2</w:t>
      </w:r>
      <w:r w:rsidRPr="00E7492D">
        <w:rPr>
          <w:rFonts w:ascii="Arial" w:hAnsi="Arial" w:cs="Arial"/>
          <w:iCs/>
          <w:vertAlign w:val="superscript"/>
          <w:lang w:val="en-US"/>
        </w:rPr>
        <w:t>nd</w:t>
      </w:r>
      <w:r w:rsidRPr="00E7492D">
        <w:rPr>
          <w:rFonts w:ascii="Arial" w:hAnsi="Arial" w:cs="Arial"/>
          <w:iCs/>
          <w:lang w:val="en-US"/>
        </w:rPr>
        <w:t xml:space="preserve"> Generation as well as the </w:t>
      </w:r>
      <w:proofErr w:type="spellStart"/>
      <w:r w:rsidRPr="00E7492D">
        <w:rPr>
          <w:rFonts w:ascii="Arial" w:hAnsi="Arial" w:cs="Arial"/>
          <w:iCs/>
          <w:lang w:val="en-US"/>
        </w:rPr>
        <w:t>monoBLOCK</w:t>
      </w:r>
      <w:proofErr w:type="spellEnd"/>
      <w:r w:rsidRPr="00E7492D">
        <w:rPr>
          <w:rFonts w:ascii="Arial" w:hAnsi="Arial" w:cs="Arial"/>
          <w:iCs/>
          <w:lang w:val="en-US"/>
        </w:rPr>
        <w:t xml:space="preserve"> series. The previously available spindle range already came up to speeds of up to 15,000 min</w:t>
      </w:r>
      <w:r w:rsidRPr="00E7492D">
        <w:rPr>
          <w:rFonts w:ascii="Arial" w:hAnsi="Arial" w:cs="Arial"/>
          <w:iCs/>
          <w:vertAlign w:val="superscript"/>
          <w:lang w:val="en-US"/>
        </w:rPr>
        <w:t>-1</w:t>
      </w:r>
      <w:r w:rsidRPr="00E7492D">
        <w:rPr>
          <w:rFonts w:ascii="Arial" w:hAnsi="Arial" w:cs="Arial"/>
          <w:iCs/>
          <w:lang w:val="en-US"/>
        </w:rPr>
        <w:t xml:space="preserve"> or 20,000 min</w:t>
      </w:r>
      <w:r w:rsidRPr="00E7492D">
        <w:rPr>
          <w:rFonts w:ascii="Arial" w:hAnsi="Arial" w:cs="Arial"/>
          <w:iCs/>
          <w:vertAlign w:val="superscript"/>
          <w:lang w:val="en-US"/>
        </w:rPr>
        <w:t>-1</w:t>
      </w:r>
      <w:r w:rsidRPr="00E7492D">
        <w:rPr>
          <w:rFonts w:ascii="Arial" w:hAnsi="Arial" w:cs="Arial"/>
          <w:iCs/>
          <w:lang w:val="en-US"/>
        </w:rPr>
        <w:t xml:space="preserve">. With the new </w:t>
      </w:r>
      <w:proofErr w:type="spellStart"/>
      <w:r w:rsidRPr="00E7492D">
        <w:rPr>
          <w:rFonts w:ascii="Arial" w:hAnsi="Arial" w:cs="Arial"/>
          <w:iCs/>
          <w:lang w:val="en-US"/>
        </w:rPr>
        <w:t>speedMASTER</w:t>
      </w:r>
      <w:proofErr w:type="spellEnd"/>
      <w:r w:rsidRPr="00E7492D">
        <w:rPr>
          <w:rFonts w:ascii="Arial" w:hAnsi="Arial" w:cs="Arial"/>
          <w:iCs/>
          <w:lang w:val="en-US"/>
        </w:rPr>
        <w:t xml:space="preserve"> 30k, DMG MORI enables even faster milling and shorter machining times.</w:t>
      </w:r>
    </w:p>
    <w:p w14:paraId="26FDF75D" w14:textId="77777777" w:rsidR="0011727B" w:rsidRPr="00552874" w:rsidRDefault="0011727B" w:rsidP="0011727B">
      <w:pPr>
        <w:spacing w:line="281" w:lineRule="auto"/>
        <w:jc w:val="both"/>
        <w:rPr>
          <w:rFonts w:ascii="Arial" w:hAnsi="Arial" w:cs="Arial"/>
          <w:iCs/>
          <w:lang w:val="en-US"/>
        </w:rPr>
      </w:pPr>
    </w:p>
    <w:p w14:paraId="78077556" w14:textId="77777777" w:rsidR="0011727B" w:rsidRPr="00552874" w:rsidRDefault="0011727B" w:rsidP="0011727B">
      <w:pPr>
        <w:rPr>
          <w:rFonts w:ascii="Arial" w:hAnsi="Arial" w:cs="Arial"/>
          <w:iCs/>
          <w:lang w:val="en-US"/>
        </w:rPr>
      </w:pPr>
    </w:p>
    <w:p w14:paraId="3F05F2AF" w14:textId="77777777" w:rsidR="0047439E" w:rsidRPr="00552874" w:rsidRDefault="0047439E" w:rsidP="0011727B">
      <w:pPr>
        <w:rPr>
          <w:lang w:val="en-US"/>
        </w:rPr>
      </w:pPr>
    </w:p>
    <w:sectPr w:rsidR="0047439E" w:rsidRPr="00552874" w:rsidSect="00EE5D7D">
      <w:headerReference w:type="even" r:id="rId16"/>
      <w:headerReference w:type="default" r:id="rId17"/>
      <w:footerReference w:type="default" r:id="rId18"/>
      <w:headerReference w:type="first" r:id="rId19"/>
      <w:pgSz w:w="11900" w:h="16840"/>
      <w:pgMar w:top="2381" w:right="3082" w:bottom="1134" w:left="993"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5ED7F" w14:textId="77777777" w:rsidR="00D21DEC" w:rsidRDefault="00D21DEC" w:rsidP="00C0359A">
      <w:r>
        <w:separator/>
      </w:r>
    </w:p>
  </w:endnote>
  <w:endnote w:type="continuationSeparator" w:id="0">
    <w:p w14:paraId="765522C4" w14:textId="77777777" w:rsidR="00D21DEC" w:rsidRDefault="00D21DEC" w:rsidP="00C0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98235"/>
      <w:docPartObj>
        <w:docPartGallery w:val="Page Numbers (Bottom of Page)"/>
        <w:docPartUnique/>
      </w:docPartObj>
    </w:sdtPr>
    <w:sdtEndPr>
      <w:rPr>
        <w:rFonts w:ascii="Arial" w:hAnsi="Arial" w:cs="Arial"/>
        <w:sz w:val="18"/>
        <w:szCs w:val="18"/>
      </w:rPr>
    </w:sdtEndPr>
    <w:sdtContent>
      <w:p w14:paraId="6EDE317F" w14:textId="5941225F" w:rsidR="00EE5D7D" w:rsidRPr="00EE5D7D" w:rsidRDefault="00EE5D7D">
        <w:pPr>
          <w:pStyle w:val="Fuzeile"/>
          <w:jc w:val="right"/>
          <w:rPr>
            <w:rFonts w:ascii="Arial" w:hAnsi="Arial" w:cs="Arial"/>
            <w:sz w:val="18"/>
            <w:szCs w:val="18"/>
          </w:rPr>
        </w:pPr>
        <w:r w:rsidRPr="00EE5D7D">
          <w:rPr>
            <w:rFonts w:ascii="Arial" w:hAnsi="Arial" w:cs="Arial"/>
            <w:sz w:val="18"/>
            <w:szCs w:val="18"/>
          </w:rPr>
          <w:fldChar w:fldCharType="begin"/>
        </w:r>
        <w:r w:rsidRPr="00EE5D7D">
          <w:rPr>
            <w:rFonts w:ascii="Arial" w:hAnsi="Arial" w:cs="Arial"/>
            <w:sz w:val="18"/>
            <w:szCs w:val="18"/>
          </w:rPr>
          <w:instrText>PAGE   \* MERGEFORMAT</w:instrText>
        </w:r>
        <w:r w:rsidRPr="00EE5D7D">
          <w:rPr>
            <w:rFonts w:ascii="Arial" w:hAnsi="Arial" w:cs="Arial"/>
            <w:sz w:val="18"/>
            <w:szCs w:val="18"/>
          </w:rPr>
          <w:fldChar w:fldCharType="separate"/>
        </w:r>
        <w:r w:rsidR="0083421D" w:rsidRPr="0083421D">
          <w:rPr>
            <w:rFonts w:ascii="Arial" w:hAnsi="Arial" w:cs="Arial"/>
            <w:noProof/>
            <w:sz w:val="18"/>
            <w:szCs w:val="18"/>
            <w:lang w:val="de-DE"/>
          </w:rPr>
          <w:t>1</w:t>
        </w:r>
        <w:r w:rsidRPr="00EE5D7D">
          <w:rPr>
            <w:rFonts w:ascii="Arial" w:hAnsi="Arial" w:cs="Arial"/>
            <w:sz w:val="18"/>
            <w:szCs w:val="18"/>
          </w:rPr>
          <w:fldChar w:fldCharType="end"/>
        </w:r>
      </w:p>
    </w:sdtContent>
  </w:sdt>
  <w:p w14:paraId="095B4F9A" w14:textId="77777777" w:rsidR="00EE5D7D" w:rsidRDefault="00EE5D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BAC46" w14:textId="77777777" w:rsidR="00D21DEC" w:rsidRDefault="00D21DEC" w:rsidP="00C0359A">
      <w:r>
        <w:separator/>
      </w:r>
    </w:p>
  </w:footnote>
  <w:footnote w:type="continuationSeparator" w:id="0">
    <w:p w14:paraId="0532882F" w14:textId="77777777" w:rsidR="00D21DEC" w:rsidRDefault="00D21DEC" w:rsidP="00C03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C2C0" w14:textId="77777777" w:rsidR="00C0359A" w:rsidRDefault="003F4A7F">
    <w:pPr>
      <w:pStyle w:val="Kopfzeile"/>
    </w:pPr>
    <w:r>
      <w:rPr>
        <w:noProof/>
        <w:lang w:val="de-DE" w:eastAsia="de-DE"/>
      </w:rPr>
      <w:drawing>
        <wp:anchor distT="0" distB="0" distL="114300" distR="114300" simplePos="0" relativeHeight="251671552" behindDoc="1" locked="0" layoutInCell="0" allowOverlap="1" wp14:anchorId="36375153" wp14:editId="0337A72F">
          <wp:simplePos x="0" y="0"/>
          <wp:positionH relativeFrom="margin">
            <wp:align>center</wp:align>
          </wp:positionH>
          <wp:positionV relativeFrom="margin">
            <wp:align>center</wp:align>
          </wp:positionV>
          <wp:extent cx="7560310" cy="10692130"/>
          <wp:effectExtent l="0" t="0" r="0" b="0"/>
          <wp:wrapNone/>
          <wp:docPr id="22" name="Grafik 22"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1" locked="0" layoutInCell="0" allowOverlap="1" wp14:anchorId="09157B3D" wp14:editId="18257961">
          <wp:simplePos x="0" y="0"/>
          <wp:positionH relativeFrom="margin">
            <wp:align>center</wp:align>
          </wp:positionH>
          <wp:positionV relativeFrom="margin">
            <wp:align>center</wp:align>
          </wp:positionV>
          <wp:extent cx="7560310" cy="10692130"/>
          <wp:effectExtent l="0" t="0" r="0" b="0"/>
          <wp:wrapNone/>
          <wp:docPr id="23" name="Grafik 23"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5408" behindDoc="1" locked="0" layoutInCell="0" allowOverlap="1" wp14:anchorId="70AE3AC5" wp14:editId="67117F87">
          <wp:simplePos x="0" y="0"/>
          <wp:positionH relativeFrom="margin">
            <wp:align>center</wp:align>
          </wp:positionH>
          <wp:positionV relativeFrom="margin">
            <wp:align>center</wp:align>
          </wp:positionV>
          <wp:extent cx="7560310" cy="10692130"/>
          <wp:effectExtent l="0" t="0" r="0" b="0"/>
          <wp:wrapNone/>
          <wp:docPr id="24" name="Grafik 24"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1" locked="0" layoutInCell="1" allowOverlap="1" wp14:anchorId="25564C1D" wp14:editId="7AB2C7DA">
          <wp:simplePos x="0" y="0"/>
          <wp:positionH relativeFrom="margin">
            <wp:align>center</wp:align>
          </wp:positionH>
          <wp:positionV relativeFrom="margin">
            <wp:align>center</wp:align>
          </wp:positionV>
          <wp:extent cx="7560310" cy="10692130"/>
          <wp:effectExtent l="0" t="0" r="0" b="0"/>
          <wp:wrapNone/>
          <wp:docPr id="25" name="Grafik 25"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A433D">
      <w:pict w14:anchorId="37A9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PM Vorlage DE"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F251" w14:textId="34488539" w:rsidR="00C0359A" w:rsidRDefault="007C6CC3" w:rsidP="00C63B7F">
    <w:pPr>
      <w:pStyle w:val="Kopfzeile"/>
      <w:tabs>
        <w:tab w:val="clear" w:pos="4536"/>
        <w:tab w:val="clear" w:pos="9072"/>
        <w:tab w:val="center" w:pos="3898"/>
        <w:tab w:val="left" w:pos="5980"/>
      </w:tabs>
      <w:rPr>
        <w:lang w:val="de-DE"/>
      </w:rPr>
    </w:pPr>
    <w:r>
      <w:rPr>
        <w:noProof/>
        <w:lang w:val="de-DE" w:eastAsia="de-DE"/>
      </w:rPr>
      <w:drawing>
        <wp:anchor distT="0" distB="0" distL="114300" distR="114300" simplePos="0" relativeHeight="251673600" behindDoc="1" locked="0" layoutInCell="1" allowOverlap="0" wp14:anchorId="49E9B550" wp14:editId="5F184773">
          <wp:simplePos x="0" y="0"/>
          <wp:positionH relativeFrom="column">
            <wp:posOffset>-630555</wp:posOffset>
          </wp:positionH>
          <wp:positionV relativeFrom="paragraph">
            <wp:posOffset>-424815</wp:posOffset>
          </wp:positionV>
          <wp:extent cx="7593450" cy="10706764"/>
          <wp:effectExtent l="0" t="0" r="1270" b="0"/>
          <wp:wrapNone/>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3450" cy="10706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8CF">
      <w:rPr>
        <w:lang w:val="de-DE"/>
      </w:rPr>
      <w:tab/>
    </w:r>
    <w:r w:rsidR="00C63B7F">
      <w:rPr>
        <w:lang w:val="de-DE"/>
      </w:rPr>
      <w:tab/>
    </w:r>
  </w:p>
  <w:p w14:paraId="2124B7C2" w14:textId="239B45C1" w:rsidR="007C6CC3" w:rsidRPr="007C6CC3" w:rsidRDefault="00FB1B61" w:rsidP="00FB1B61">
    <w:pPr>
      <w:pStyle w:val="Kopfzeile"/>
      <w:tabs>
        <w:tab w:val="clear" w:pos="4536"/>
        <w:tab w:val="clear" w:pos="9072"/>
        <w:tab w:val="left" w:pos="5980"/>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4CD" w14:textId="77777777" w:rsidR="00C0359A" w:rsidRDefault="003F4A7F">
    <w:pPr>
      <w:pStyle w:val="Kopfzeile"/>
    </w:pPr>
    <w:r>
      <w:rPr>
        <w:noProof/>
        <w:lang w:val="de-DE" w:eastAsia="de-DE"/>
      </w:rPr>
      <w:drawing>
        <wp:anchor distT="0" distB="0" distL="114300" distR="114300" simplePos="0" relativeHeight="251672576" behindDoc="1" locked="0" layoutInCell="0" allowOverlap="1" wp14:anchorId="6719E1B4" wp14:editId="66F4A3DC">
          <wp:simplePos x="0" y="0"/>
          <wp:positionH relativeFrom="margin">
            <wp:align>center</wp:align>
          </wp:positionH>
          <wp:positionV relativeFrom="margin">
            <wp:align>center</wp:align>
          </wp:positionV>
          <wp:extent cx="7560310" cy="10692130"/>
          <wp:effectExtent l="0" t="0" r="0" b="0"/>
          <wp:wrapNone/>
          <wp:docPr id="27" name="Grafik 27"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9504" behindDoc="1" locked="0" layoutInCell="0" allowOverlap="1" wp14:anchorId="523F1739" wp14:editId="596AB98D">
          <wp:simplePos x="0" y="0"/>
          <wp:positionH relativeFrom="margin">
            <wp:align>center</wp:align>
          </wp:positionH>
          <wp:positionV relativeFrom="margin">
            <wp:align>center</wp:align>
          </wp:positionV>
          <wp:extent cx="7560310" cy="10692130"/>
          <wp:effectExtent l="0" t="0" r="0" b="0"/>
          <wp:wrapNone/>
          <wp:docPr id="28" name="Grafik 28"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1" locked="0" layoutInCell="0" allowOverlap="1" wp14:anchorId="6E5D39E0" wp14:editId="0982368C">
          <wp:simplePos x="0" y="0"/>
          <wp:positionH relativeFrom="margin">
            <wp:align>center</wp:align>
          </wp:positionH>
          <wp:positionV relativeFrom="margin">
            <wp:align>center</wp:align>
          </wp:positionV>
          <wp:extent cx="7560310" cy="10692130"/>
          <wp:effectExtent l="0" t="0" r="0" b="0"/>
          <wp:wrapNone/>
          <wp:docPr id="29" name="Grafik 29"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63734930" wp14:editId="58CB9658">
          <wp:simplePos x="0" y="0"/>
          <wp:positionH relativeFrom="margin">
            <wp:align>center</wp:align>
          </wp:positionH>
          <wp:positionV relativeFrom="margin">
            <wp:align>center</wp:align>
          </wp:positionV>
          <wp:extent cx="7560310" cy="10692130"/>
          <wp:effectExtent l="0" t="0" r="0" b="0"/>
          <wp:wrapNone/>
          <wp:docPr id="30" name="Grafik 30"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A433D">
      <w:pict w14:anchorId="15539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PM Vorlage DE"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EF7"/>
    <w:multiLevelType w:val="hybridMultilevel"/>
    <w:tmpl w:val="BBD42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81D41"/>
    <w:multiLevelType w:val="hybridMultilevel"/>
    <w:tmpl w:val="13DE9E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349F0"/>
    <w:multiLevelType w:val="hybridMultilevel"/>
    <w:tmpl w:val="88CC7F4E"/>
    <w:lvl w:ilvl="0" w:tplc="620E0CC0">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60090"/>
    <w:multiLevelType w:val="hybridMultilevel"/>
    <w:tmpl w:val="12524352"/>
    <w:lvl w:ilvl="0" w:tplc="56AC6E04">
      <w:numFmt w:val="bullet"/>
      <w:lvlText w:val="-"/>
      <w:lvlJc w:val="left"/>
      <w:pPr>
        <w:ind w:left="720" w:hanging="360"/>
      </w:pPr>
      <w:rPr>
        <w:rFonts w:ascii="Calibri" w:eastAsia="MS Mincho" w:hAnsi="Calibri"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9728CD"/>
    <w:multiLevelType w:val="hybridMultilevel"/>
    <w:tmpl w:val="D376F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C5E62"/>
    <w:multiLevelType w:val="hybridMultilevel"/>
    <w:tmpl w:val="19E01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931FFF"/>
    <w:multiLevelType w:val="hybridMultilevel"/>
    <w:tmpl w:val="5A1EB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974ADB"/>
    <w:multiLevelType w:val="hybridMultilevel"/>
    <w:tmpl w:val="EC503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4A183C"/>
    <w:multiLevelType w:val="hybridMultilevel"/>
    <w:tmpl w:val="5B5ADE50"/>
    <w:lvl w:ilvl="0" w:tplc="10F83AE8">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E4EB4"/>
    <w:multiLevelType w:val="hybridMultilevel"/>
    <w:tmpl w:val="2342F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196451"/>
    <w:multiLevelType w:val="hybridMultilevel"/>
    <w:tmpl w:val="79CCF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E73175"/>
    <w:multiLevelType w:val="hybridMultilevel"/>
    <w:tmpl w:val="583A4220"/>
    <w:lvl w:ilvl="0" w:tplc="47C49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6C24BC"/>
    <w:multiLevelType w:val="hybridMultilevel"/>
    <w:tmpl w:val="14CAF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777474"/>
    <w:multiLevelType w:val="hybridMultilevel"/>
    <w:tmpl w:val="ADB80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B66B43"/>
    <w:multiLevelType w:val="hybridMultilevel"/>
    <w:tmpl w:val="8A32F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51358A"/>
    <w:multiLevelType w:val="hybridMultilevel"/>
    <w:tmpl w:val="70B2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3435EA"/>
    <w:multiLevelType w:val="hybridMultilevel"/>
    <w:tmpl w:val="1734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734D5"/>
    <w:multiLevelType w:val="hybridMultilevel"/>
    <w:tmpl w:val="21983A8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57531"/>
    <w:multiLevelType w:val="hybridMultilevel"/>
    <w:tmpl w:val="38126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80263210">
    <w:abstractNumId w:val="0"/>
  </w:num>
  <w:num w:numId="2" w16cid:durableId="1326782714">
    <w:abstractNumId w:val="10"/>
  </w:num>
  <w:num w:numId="3" w16cid:durableId="1746343175">
    <w:abstractNumId w:val="4"/>
  </w:num>
  <w:num w:numId="4" w16cid:durableId="177889294">
    <w:abstractNumId w:val="7"/>
  </w:num>
  <w:num w:numId="5" w16cid:durableId="1190876232">
    <w:abstractNumId w:val="14"/>
  </w:num>
  <w:num w:numId="6" w16cid:durableId="262299330">
    <w:abstractNumId w:val="18"/>
  </w:num>
  <w:num w:numId="7" w16cid:durableId="1278871720">
    <w:abstractNumId w:val="9"/>
  </w:num>
  <w:num w:numId="8" w16cid:durableId="1336179532">
    <w:abstractNumId w:val="8"/>
  </w:num>
  <w:num w:numId="9" w16cid:durableId="1452896361">
    <w:abstractNumId w:val="13"/>
  </w:num>
  <w:num w:numId="10" w16cid:durableId="207957825">
    <w:abstractNumId w:val="3"/>
  </w:num>
  <w:num w:numId="11" w16cid:durableId="1516380727">
    <w:abstractNumId w:val="2"/>
  </w:num>
  <w:num w:numId="12" w16cid:durableId="1450390425">
    <w:abstractNumId w:val="16"/>
  </w:num>
  <w:num w:numId="13" w16cid:durableId="1165783953">
    <w:abstractNumId w:val="1"/>
  </w:num>
  <w:num w:numId="14" w16cid:durableId="818301956">
    <w:abstractNumId w:val="15"/>
  </w:num>
  <w:num w:numId="15" w16cid:durableId="2037538104">
    <w:abstractNumId w:val="11"/>
  </w:num>
  <w:num w:numId="16" w16cid:durableId="922644412">
    <w:abstractNumId w:val="12"/>
  </w:num>
  <w:num w:numId="17" w16cid:durableId="1852331464">
    <w:abstractNumId w:val="6"/>
  </w:num>
  <w:num w:numId="18" w16cid:durableId="750780988">
    <w:abstractNumId w:val="17"/>
  </w:num>
  <w:num w:numId="19" w16cid:durableId="16556424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proofState w:spelling="clean"/>
  <w:attachedTemplate r:id="rId1"/>
  <w:defaultTabStop w:val="708"/>
  <w:hyphenationZone w:val="425"/>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7F"/>
    <w:rsid w:val="000000F0"/>
    <w:rsid w:val="00001F42"/>
    <w:rsid w:val="0002262F"/>
    <w:rsid w:val="00024138"/>
    <w:rsid w:val="000244C7"/>
    <w:rsid w:val="00032F55"/>
    <w:rsid w:val="00054816"/>
    <w:rsid w:val="00057393"/>
    <w:rsid w:val="00061269"/>
    <w:rsid w:val="00063687"/>
    <w:rsid w:val="00071B80"/>
    <w:rsid w:val="00074554"/>
    <w:rsid w:val="00080A3F"/>
    <w:rsid w:val="00091098"/>
    <w:rsid w:val="00091F70"/>
    <w:rsid w:val="000963D6"/>
    <w:rsid w:val="000A11E7"/>
    <w:rsid w:val="000A2739"/>
    <w:rsid w:val="000B169C"/>
    <w:rsid w:val="000B3DC4"/>
    <w:rsid w:val="000B7494"/>
    <w:rsid w:val="000C1056"/>
    <w:rsid w:val="000C3B05"/>
    <w:rsid w:val="000D2B59"/>
    <w:rsid w:val="000D3385"/>
    <w:rsid w:val="000D6371"/>
    <w:rsid w:val="00101DF2"/>
    <w:rsid w:val="001031E4"/>
    <w:rsid w:val="00103E32"/>
    <w:rsid w:val="0010633D"/>
    <w:rsid w:val="00107FCF"/>
    <w:rsid w:val="0011727B"/>
    <w:rsid w:val="00120767"/>
    <w:rsid w:val="00121EE5"/>
    <w:rsid w:val="0013732E"/>
    <w:rsid w:val="001461C3"/>
    <w:rsid w:val="00152254"/>
    <w:rsid w:val="001546E6"/>
    <w:rsid w:val="0016444B"/>
    <w:rsid w:val="00165E04"/>
    <w:rsid w:val="00166839"/>
    <w:rsid w:val="00174597"/>
    <w:rsid w:val="00176DB5"/>
    <w:rsid w:val="00177148"/>
    <w:rsid w:val="001802A8"/>
    <w:rsid w:val="00181B0E"/>
    <w:rsid w:val="001871C3"/>
    <w:rsid w:val="001901B3"/>
    <w:rsid w:val="001C2830"/>
    <w:rsid w:val="001C4217"/>
    <w:rsid w:val="001C78CF"/>
    <w:rsid w:val="001C7F8C"/>
    <w:rsid w:val="001D0323"/>
    <w:rsid w:val="001D3AD1"/>
    <w:rsid w:val="001D75FD"/>
    <w:rsid w:val="001E32FB"/>
    <w:rsid w:val="001E3F4A"/>
    <w:rsid w:val="001E42D7"/>
    <w:rsid w:val="001E4457"/>
    <w:rsid w:val="001E775E"/>
    <w:rsid w:val="001F5606"/>
    <w:rsid w:val="001F607E"/>
    <w:rsid w:val="001F6492"/>
    <w:rsid w:val="002074CC"/>
    <w:rsid w:val="002130FF"/>
    <w:rsid w:val="00215C09"/>
    <w:rsid w:val="002214CD"/>
    <w:rsid w:val="002275BE"/>
    <w:rsid w:val="0023090A"/>
    <w:rsid w:val="00230F49"/>
    <w:rsid w:val="00232246"/>
    <w:rsid w:val="00235331"/>
    <w:rsid w:val="0023647C"/>
    <w:rsid w:val="00240AEC"/>
    <w:rsid w:val="002432DB"/>
    <w:rsid w:val="0024594D"/>
    <w:rsid w:val="002529AF"/>
    <w:rsid w:val="0025379F"/>
    <w:rsid w:val="00255BD1"/>
    <w:rsid w:val="00255E35"/>
    <w:rsid w:val="00257A51"/>
    <w:rsid w:val="0026069D"/>
    <w:rsid w:val="00261CCB"/>
    <w:rsid w:val="00263C02"/>
    <w:rsid w:val="00265E4A"/>
    <w:rsid w:val="002718E0"/>
    <w:rsid w:val="00273E3F"/>
    <w:rsid w:val="00274B50"/>
    <w:rsid w:val="00280023"/>
    <w:rsid w:val="002811F4"/>
    <w:rsid w:val="002822CF"/>
    <w:rsid w:val="00285F85"/>
    <w:rsid w:val="00291E7F"/>
    <w:rsid w:val="0029242A"/>
    <w:rsid w:val="002940C4"/>
    <w:rsid w:val="00294571"/>
    <w:rsid w:val="002A38E4"/>
    <w:rsid w:val="002A4536"/>
    <w:rsid w:val="002D0F49"/>
    <w:rsid w:val="002D2D9D"/>
    <w:rsid w:val="002E6F6B"/>
    <w:rsid w:val="002F016F"/>
    <w:rsid w:val="002F1619"/>
    <w:rsid w:val="002F1F67"/>
    <w:rsid w:val="002F2201"/>
    <w:rsid w:val="003013BD"/>
    <w:rsid w:val="00302164"/>
    <w:rsid w:val="003049DF"/>
    <w:rsid w:val="003059F3"/>
    <w:rsid w:val="00311959"/>
    <w:rsid w:val="00311E5F"/>
    <w:rsid w:val="00314916"/>
    <w:rsid w:val="00316A68"/>
    <w:rsid w:val="003178AC"/>
    <w:rsid w:val="00321A9E"/>
    <w:rsid w:val="00321F92"/>
    <w:rsid w:val="00322485"/>
    <w:rsid w:val="00331BF6"/>
    <w:rsid w:val="00336672"/>
    <w:rsid w:val="00343F5B"/>
    <w:rsid w:val="003469A1"/>
    <w:rsid w:val="003472DF"/>
    <w:rsid w:val="0035207C"/>
    <w:rsid w:val="00353B6A"/>
    <w:rsid w:val="00355DFD"/>
    <w:rsid w:val="00355FFA"/>
    <w:rsid w:val="003575BE"/>
    <w:rsid w:val="00360D9A"/>
    <w:rsid w:val="003660CC"/>
    <w:rsid w:val="003818D3"/>
    <w:rsid w:val="00381AE3"/>
    <w:rsid w:val="003822AD"/>
    <w:rsid w:val="003851A4"/>
    <w:rsid w:val="003A0CA2"/>
    <w:rsid w:val="003A482E"/>
    <w:rsid w:val="003B01CF"/>
    <w:rsid w:val="003B1606"/>
    <w:rsid w:val="003B2A45"/>
    <w:rsid w:val="003B2FDD"/>
    <w:rsid w:val="003B488F"/>
    <w:rsid w:val="003C3E23"/>
    <w:rsid w:val="003C5F5C"/>
    <w:rsid w:val="003C7F19"/>
    <w:rsid w:val="003D6295"/>
    <w:rsid w:val="003E4848"/>
    <w:rsid w:val="003E6F02"/>
    <w:rsid w:val="003F3424"/>
    <w:rsid w:val="003F470C"/>
    <w:rsid w:val="003F4A7F"/>
    <w:rsid w:val="003F6B63"/>
    <w:rsid w:val="004054D0"/>
    <w:rsid w:val="004075C7"/>
    <w:rsid w:val="00413623"/>
    <w:rsid w:val="00414F4A"/>
    <w:rsid w:val="00415626"/>
    <w:rsid w:val="00430770"/>
    <w:rsid w:val="00433BBD"/>
    <w:rsid w:val="004343ED"/>
    <w:rsid w:val="00444549"/>
    <w:rsid w:val="0044616C"/>
    <w:rsid w:val="00450DEC"/>
    <w:rsid w:val="004535D3"/>
    <w:rsid w:val="00455FC3"/>
    <w:rsid w:val="00457221"/>
    <w:rsid w:val="0046165B"/>
    <w:rsid w:val="0046342C"/>
    <w:rsid w:val="004644EE"/>
    <w:rsid w:val="00465EAE"/>
    <w:rsid w:val="00466DCF"/>
    <w:rsid w:val="00467FF5"/>
    <w:rsid w:val="0047439E"/>
    <w:rsid w:val="00474491"/>
    <w:rsid w:val="00480C8D"/>
    <w:rsid w:val="00487868"/>
    <w:rsid w:val="00487A04"/>
    <w:rsid w:val="004A41BC"/>
    <w:rsid w:val="004B2F93"/>
    <w:rsid w:val="004C2098"/>
    <w:rsid w:val="004E6FBE"/>
    <w:rsid w:val="004F29CB"/>
    <w:rsid w:val="004F795B"/>
    <w:rsid w:val="0050104E"/>
    <w:rsid w:val="00501499"/>
    <w:rsid w:val="0051368B"/>
    <w:rsid w:val="00523FDD"/>
    <w:rsid w:val="00534F0E"/>
    <w:rsid w:val="0053763E"/>
    <w:rsid w:val="00552791"/>
    <w:rsid w:val="00552874"/>
    <w:rsid w:val="005550B4"/>
    <w:rsid w:val="00562520"/>
    <w:rsid w:val="00563691"/>
    <w:rsid w:val="0056436A"/>
    <w:rsid w:val="00571430"/>
    <w:rsid w:val="00576CB2"/>
    <w:rsid w:val="00581DB3"/>
    <w:rsid w:val="0058363D"/>
    <w:rsid w:val="00591881"/>
    <w:rsid w:val="005B239C"/>
    <w:rsid w:val="005B4B83"/>
    <w:rsid w:val="005B7C94"/>
    <w:rsid w:val="005C00CD"/>
    <w:rsid w:val="005D702C"/>
    <w:rsid w:val="005E064F"/>
    <w:rsid w:val="005E56A7"/>
    <w:rsid w:val="005E5ED5"/>
    <w:rsid w:val="005E6D35"/>
    <w:rsid w:val="005F2827"/>
    <w:rsid w:val="005F4511"/>
    <w:rsid w:val="005F51CC"/>
    <w:rsid w:val="006007FB"/>
    <w:rsid w:val="00606436"/>
    <w:rsid w:val="00610E77"/>
    <w:rsid w:val="00612C12"/>
    <w:rsid w:val="00621407"/>
    <w:rsid w:val="006227CF"/>
    <w:rsid w:val="0062399C"/>
    <w:rsid w:val="00626FB1"/>
    <w:rsid w:val="00627F91"/>
    <w:rsid w:val="00631C3A"/>
    <w:rsid w:val="006355D9"/>
    <w:rsid w:val="00645982"/>
    <w:rsid w:val="00646945"/>
    <w:rsid w:val="0065085F"/>
    <w:rsid w:val="00650CA1"/>
    <w:rsid w:val="00652A84"/>
    <w:rsid w:val="006531DC"/>
    <w:rsid w:val="006536CD"/>
    <w:rsid w:val="0066422C"/>
    <w:rsid w:val="0067560C"/>
    <w:rsid w:val="006836AF"/>
    <w:rsid w:val="00684930"/>
    <w:rsid w:val="00687553"/>
    <w:rsid w:val="006A620F"/>
    <w:rsid w:val="006B4E7B"/>
    <w:rsid w:val="006C337C"/>
    <w:rsid w:val="006C5CEC"/>
    <w:rsid w:val="006D4BD2"/>
    <w:rsid w:val="006D6113"/>
    <w:rsid w:val="006E2E6C"/>
    <w:rsid w:val="006E3609"/>
    <w:rsid w:val="006E4044"/>
    <w:rsid w:val="006F0385"/>
    <w:rsid w:val="00703161"/>
    <w:rsid w:val="00711A66"/>
    <w:rsid w:val="00716215"/>
    <w:rsid w:val="00722FEB"/>
    <w:rsid w:val="0072745D"/>
    <w:rsid w:val="007310CB"/>
    <w:rsid w:val="007331E6"/>
    <w:rsid w:val="007404DF"/>
    <w:rsid w:val="00742C7D"/>
    <w:rsid w:val="00747067"/>
    <w:rsid w:val="00747600"/>
    <w:rsid w:val="00750D94"/>
    <w:rsid w:val="00751C91"/>
    <w:rsid w:val="00752B2C"/>
    <w:rsid w:val="0076775D"/>
    <w:rsid w:val="0077044A"/>
    <w:rsid w:val="007722D3"/>
    <w:rsid w:val="00780259"/>
    <w:rsid w:val="007817A8"/>
    <w:rsid w:val="007827B2"/>
    <w:rsid w:val="007867B7"/>
    <w:rsid w:val="00796DCA"/>
    <w:rsid w:val="00797540"/>
    <w:rsid w:val="00797ECB"/>
    <w:rsid w:val="007A01CC"/>
    <w:rsid w:val="007A0CFB"/>
    <w:rsid w:val="007A1C1C"/>
    <w:rsid w:val="007A5064"/>
    <w:rsid w:val="007B294D"/>
    <w:rsid w:val="007B2BCB"/>
    <w:rsid w:val="007B3485"/>
    <w:rsid w:val="007B715C"/>
    <w:rsid w:val="007C00FA"/>
    <w:rsid w:val="007C6CC3"/>
    <w:rsid w:val="007D47CF"/>
    <w:rsid w:val="007D4AC5"/>
    <w:rsid w:val="007D7894"/>
    <w:rsid w:val="007E2664"/>
    <w:rsid w:val="00810832"/>
    <w:rsid w:val="00820469"/>
    <w:rsid w:val="00820FA7"/>
    <w:rsid w:val="00823555"/>
    <w:rsid w:val="00823C35"/>
    <w:rsid w:val="008246B8"/>
    <w:rsid w:val="0083111A"/>
    <w:rsid w:val="0083421D"/>
    <w:rsid w:val="00841EC5"/>
    <w:rsid w:val="00843DA0"/>
    <w:rsid w:val="00845D17"/>
    <w:rsid w:val="00851743"/>
    <w:rsid w:val="0085189B"/>
    <w:rsid w:val="00851F7E"/>
    <w:rsid w:val="0085262E"/>
    <w:rsid w:val="00865BA1"/>
    <w:rsid w:val="008700FC"/>
    <w:rsid w:val="00873BF3"/>
    <w:rsid w:val="00877011"/>
    <w:rsid w:val="00880BE8"/>
    <w:rsid w:val="00882429"/>
    <w:rsid w:val="00887044"/>
    <w:rsid w:val="008872B9"/>
    <w:rsid w:val="008A00D8"/>
    <w:rsid w:val="008A1097"/>
    <w:rsid w:val="008A4C71"/>
    <w:rsid w:val="008B7B99"/>
    <w:rsid w:val="008C0640"/>
    <w:rsid w:val="008C6B3A"/>
    <w:rsid w:val="008C7D24"/>
    <w:rsid w:val="008D3F73"/>
    <w:rsid w:val="008D6FEE"/>
    <w:rsid w:val="008D7C77"/>
    <w:rsid w:val="008E2D8A"/>
    <w:rsid w:val="008E4C84"/>
    <w:rsid w:val="008E5765"/>
    <w:rsid w:val="008F03F7"/>
    <w:rsid w:val="008F298C"/>
    <w:rsid w:val="00903FC7"/>
    <w:rsid w:val="009064E4"/>
    <w:rsid w:val="009136BE"/>
    <w:rsid w:val="0092227D"/>
    <w:rsid w:val="009279F8"/>
    <w:rsid w:val="00936F5A"/>
    <w:rsid w:val="009447EB"/>
    <w:rsid w:val="009512D8"/>
    <w:rsid w:val="0095692E"/>
    <w:rsid w:val="00957332"/>
    <w:rsid w:val="00970571"/>
    <w:rsid w:val="009707B3"/>
    <w:rsid w:val="00970DE4"/>
    <w:rsid w:val="0097776C"/>
    <w:rsid w:val="00985175"/>
    <w:rsid w:val="00990070"/>
    <w:rsid w:val="00996EA0"/>
    <w:rsid w:val="009A2E4B"/>
    <w:rsid w:val="009A4E1F"/>
    <w:rsid w:val="009A79CB"/>
    <w:rsid w:val="009C4351"/>
    <w:rsid w:val="009C445A"/>
    <w:rsid w:val="009D48FA"/>
    <w:rsid w:val="009D5C80"/>
    <w:rsid w:val="009E2EB8"/>
    <w:rsid w:val="009E317D"/>
    <w:rsid w:val="009E4014"/>
    <w:rsid w:val="009F454A"/>
    <w:rsid w:val="009F456B"/>
    <w:rsid w:val="009F6505"/>
    <w:rsid w:val="00A00615"/>
    <w:rsid w:val="00A059AF"/>
    <w:rsid w:val="00A169E1"/>
    <w:rsid w:val="00A210AE"/>
    <w:rsid w:val="00A23910"/>
    <w:rsid w:val="00A3088F"/>
    <w:rsid w:val="00A3096A"/>
    <w:rsid w:val="00A3132E"/>
    <w:rsid w:val="00A32841"/>
    <w:rsid w:val="00A32B46"/>
    <w:rsid w:val="00A34926"/>
    <w:rsid w:val="00A360E2"/>
    <w:rsid w:val="00A45307"/>
    <w:rsid w:val="00A464FE"/>
    <w:rsid w:val="00A50626"/>
    <w:rsid w:val="00A5494F"/>
    <w:rsid w:val="00A62B87"/>
    <w:rsid w:val="00A64E6E"/>
    <w:rsid w:val="00A6633C"/>
    <w:rsid w:val="00A67619"/>
    <w:rsid w:val="00A73DE3"/>
    <w:rsid w:val="00A7572D"/>
    <w:rsid w:val="00A77758"/>
    <w:rsid w:val="00A83D63"/>
    <w:rsid w:val="00A87E06"/>
    <w:rsid w:val="00A92C10"/>
    <w:rsid w:val="00AB48FB"/>
    <w:rsid w:val="00AB6AE8"/>
    <w:rsid w:val="00AD15F3"/>
    <w:rsid w:val="00AD3A60"/>
    <w:rsid w:val="00AE5E0B"/>
    <w:rsid w:val="00AE622E"/>
    <w:rsid w:val="00AF0DFE"/>
    <w:rsid w:val="00AF65B4"/>
    <w:rsid w:val="00B06513"/>
    <w:rsid w:val="00B13117"/>
    <w:rsid w:val="00B16598"/>
    <w:rsid w:val="00B3142A"/>
    <w:rsid w:val="00B333EA"/>
    <w:rsid w:val="00B35524"/>
    <w:rsid w:val="00B40A72"/>
    <w:rsid w:val="00B60FB4"/>
    <w:rsid w:val="00B6123F"/>
    <w:rsid w:val="00B62E53"/>
    <w:rsid w:val="00B66322"/>
    <w:rsid w:val="00B73628"/>
    <w:rsid w:val="00B74450"/>
    <w:rsid w:val="00B74983"/>
    <w:rsid w:val="00B771E1"/>
    <w:rsid w:val="00B8213D"/>
    <w:rsid w:val="00B823B8"/>
    <w:rsid w:val="00B90386"/>
    <w:rsid w:val="00B90FE8"/>
    <w:rsid w:val="00B97F35"/>
    <w:rsid w:val="00BA3F3A"/>
    <w:rsid w:val="00BA771E"/>
    <w:rsid w:val="00BB4526"/>
    <w:rsid w:val="00BC09E7"/>
    <w:rsid w:val="00BD2841"/>
    <w:rsid w:val="00BD612B"/>
    <w:rsid w:val="00BE2EB5"/>
    <w:rsid w:val="00BE3DF0"/>
    <w:rsid w:val="00BE45EE"/>
    <w:rsid w:val="00BF0C10"/>
    <w:rsid w:val="00BF262F"/>
    <w:rsid w:val="00BF3F36"/>
    <w:rsid w:val="00BF7EBE"/>
    <w:rsid w:val="00C0359A"/>
    <w:rsid w:val="00C060EF"/>
    <w:rsid w:val="00C20217"/>
    <w:rsid w:val="00C23322"/>
    <w:rsid w:val="00C3262A"/>
    <w:rsid w:val="00C33F70"/>
    <w:rsid w:val="00C433FC"/>
    <w:rsid w:val="00C560D1"/>
    <w:rsid w:val="00C57BE0"/>
    <w:rsid w:val="00C62F24"/>
    <w:rsid w:val="00C63128"/>
    <w:rsid w:val="00C63B7F"/>
    <w:rsid w:val="00C669A8"/>
    <w:rsid w:val="00C74A41"/>
    <w:rsid w:val="00C760AF"/>
    <w:rsid w:val="00C76D33"/>
    <w:rsid w:val="00C809E7"/>
    <w:rsid w:val="00C83443"/>
    <w:rsid w:val="00C9097A"/>
    <w:rsid w:val="00C93137"/>
    <w:rsid w:val="00C942A8"/>
    <w:rsid w:val="00CA04A1"/>
    <w:rsid w:val="00CB3AFE"/>
    <w:rsid w:val="00CB425B"/>
    <w:rsid w:val="00CC41CD"/>
    <w:rsid w:val="00CC78F3"/>
    <w:rsid w:val="00CD60D7"/>
    <w:rsid w:val="00CE565A"/>
    <w:rsid w:val="00CF1E05"/>
    <w:rsid w:val="00CF2308"/>
    <w:rsid w:val="00D113B2"/>
    <w:rsid w:val="00D13029"/>
    <w:rsid w:val="00D167B6"/>
    <w:rsid w:val="00D21DEC"/>
    <w:rsid w:val="00D24287"/>
    <w:rsid w:val="00D253BC"/>
    <w:rsid w:val="00D33A7A"/>
    <w:rsid w:val="00D3573A"/>
    <w:rsid w:val="00D36287"/>
    <w:rsid w:val="00D36899"/>
    <w:rsid w:val="00D42E57"/>
    <w:rsid w:val="00D43764"/>
    <w:rsid w:val="00D44E3C"/>
    <w:rsid w:val="00D502F1"/>
    <w:rsid w:val="00D61DE5"/>
    <w:rsid w:val="00D63F84"/>
    <w:rsid w:val="00D645B8"/>
    <w:rsid w:val="00D7157A"/>
    <w:rsid w:val="00D74474"/>
    <w:rsid w:val="00D813B9"/>
    <w:rsid w:val="00D9101D"/>
    <w:rsid w:val="00D9379A"/>
    <w:rsid w:val="00D97390"/>
    <w:rsid w:val="00DA2426"/>
    <w:rsid w:val="00DA433D"/>
    <w:rsid w:val="00DA5FDB"/>
    <w:rsid w:val="00DA72BB"/>
    <w:rsid w:val="00DB7234"/>
    <w:rsid w:val="00DC55A5"/>
    <w:rsid w:val="00DC6DFD"/>
    <w:rsid w:val="00DC7D2E"/>
    <w:rsid w:val="00DD037F"/>
    <w:rsid w:val="00DD615F"/>
    <w:rsid w:val="00DE6114"/>
    <w:rsid w:val="00DF00DF"/>
    <w:rsid w:val="00DF2D14"/>
    <w:rsid w:val="00DF34BB"/>
    <w:rsid w:val="00E028A8"/>
    <w:rsid w:val="00E043F7"/>
    <w:rsid w:val="00E0577D"/>
    <w:rsid w:val="00E079AD"/>
    <w:rsid w:val="00E20C6C"/>
    <w:rsid w:val="00E23ED4"/>
    <w:rsid w:val="00E27E58"/>
    <w:rsid w:val="00E349D2"/>
    <w:rsid w:val="00E40FD7"/>
    <w:rsid w:val="00E41B72"/>
    <w:rsid w:val="00E45C91"/>
    <w:rsid w:val="00E51E7B"/>
    <w:rsid w:val="00E5484B"/>
    <w:rsid w:val="00E61D34"/>
    <w:rsid w:val="00E676A4"/>
    <w:rsid w:val="00E7492D"/>
    <w:rsid w:val="00E85927"/>
    <w:rsid w:val="00E87F36"/>
    <w:rsid w:val="00E92A0B"/>
    <w:rsid w:val="00EA0F33"/>
    <w:rsid w:val="00EB2E05"/>
    <w:rsid w:val="00EB400A"/>
    <w:rsid w:val="00EC1DDD"/>
    <w:rsid w:val="00EE0528"/>
    <w:rsid w:val="00EE5D7D"/>
    <w:rsid w:val="00EF08D7"/>
    <w:rsid w:val="00EF09A2"/>
    <w:rsid w:val="00EF0E29"/>
    <w:rsid w:val="00EF7EB5"/>
    <w:rsid w:val="00F04644"/>
    <w:rsid w:val="00F21CE2"/>
    <w:rsid w:val="00F231F9"/>
    <w:rsid w:val="00F272F1"/>
    <w:rsid w:val="00F27945"/>
    <w:rsid w:val="00F309CC"/>
    <w:rsid w:val="00F31E33"/>
    <w:rsid w:val="00F337CD"/>
    <w:rsid w:val="00F37A5E"/>
    <w:rsid w:val="00F40F90"/>
    <w:rsid w:val="00F546DF"/>
    <w:rsid w:val="00F56607"/>
    <w:rsid w:val="00F6476B"/>
    <w:rsid w:val="00F74A22"/>
    <w:rsid w:val="00F81CE8"/>
    <w:rsid w:val="00F827FB"/>
    <w:rsid w:val="00F84C49"/>
    <w:rsid w:val="00F90A0E"/>
    <w:rsid w:val="00F920F0"/>
    <w:rsid w:val="00F97BE4"/>
    <w:rsid w:val="00FA0D73"/>
    <w:rsid w:val="00FA22C9"/>
    <w:rsid w:val="00FA2698"/>
    <w:rsid w:val="00FA3B24"/>
    <w:rsid w:val="00FA444F"/>
    <w:rsid w:val="00FB1B61"/>
    <w:rsid w:val="00FB4EF2"/>
    <w:rsid w:val="00FB5A2E"/>
    <w:rsid w:val="00FB70DB"/>
    <w:rsid w:val="00FB73B4"/>
    <w:rsid w:val="00FC2C6C"/>
    <w:rsid w:val="00FC3D41"/>
    <w:rsid w:val="00FC7692"/>
    <w:rsid w:val="00FD19BD"/>
    <w:rsid w:val="00FD305F"/>
    <w:rsid w:val="00FD609B"/>
    <w:rsid w:val="00FE1878"/>
    <w:rsid w:val="00FE3537"/>
    <w:rsid w:val="00FE3B19"/>
    <w:rsid w:val="00FF0DBD"/>
    <w:rsid w:val="00FF3061"/>
    <w:rsid w:val="00FF3D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88E569"/>
  <w15:docId w15:val="{A570040A-532D-4272-B100-38093E10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4491"/>
    <w:rPr>
      <w:rFonts w:cs="Verdan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359A"/>
    <w:pPr>
      <w:tabs>
        <w:tab w:val="center" w:pos="4536"/>
        <w:tab w:val="right" w:pos="9072"/>
      </w:tabs>
    </w:pPr>
    <w:rPr>
      <w:rFonts w:cstheme="minorBidi"/>
      <w:sz w:val="24"/>
      <w:szCs w:val="24"/>
    </w:rPr>
  </w:style>
  <w:style w:type="character" w:customStyle="1" w:styleId="KopfzeileZchn">
    <w:name w:val="Kopfzeile Zchn"/>
    <w:basedOn w:val="Absatz-Standardschriftart"/>
    <w:link w:val="Kopfzeile"/>
    <w:uiPriority w:val="99"/>
    <w:rsid w:val="00C0359A"/>
  </w:style>
  <w:style w:type="paragraph" w:styleId="Fuzeile">
    <w:name w:val="footer"/>
    <w:basedOn w:val="Standard"/>
    <w:link w:val="FuzeileZchn"/>
    <w:uiPriority w:val="99"/>
    <w:unhideWhenUsed/>
    <w:rsid w:val="00C0359A"/>
    <w:pPr>
      <w:tabs>
        <w:tab w:val="center" w:pos="4536"/>
        <w:tab w:val="right" w:pos="9072"/>
      </w:tabs>
    </w:pPr>
    <w:rPr>
      <w:rFonts w:cstheme="minorBidi"/>
      <w:sz w:val="24"/>
      <w:szCs w:val="24"/>
    </w:rPr>
  </w:style>
  <w:style w:type="character" w:customStyle="1" w:styleId="FuzeileZchn">
    <w:name w:val="Fußzeile Zchn"/>
    <w:basedOn w:val="Absatz-Standardschriftart"/>
    <w:link w:val="Fuzeile"/>
    <w:uiPriority w:val="99"/>
    <w:rsid w:val="00C0359A"/>
  </w:style>
  <w:style w:type="paragraph" w:styleId="KeinLeerraum">
    <w:name w:val="No Spacing"/>
    <w:uiPriority w:val="1"/>
    <w:qFormat/>
    <w:rsid w:val="003F4A7F"/>
    <w:rPr>
      <w:rFonts w:ascii="Calibri" w:eastAsia="Calibri" w:hAnsi="Calibri"/>
      <w:sz w:val="22"/>
      <w:szCs w:val="22"/>
    </w:rPr>
  </w:style>
  <w:style w:type="paragraph" w:styleId="Listenabsatz">
    <w:name w:val="List Paragraph"/>
    <w:basedOn w:val="Standard"/>
    <w:uiPriority w:val="34"/>
    <w:qFormat/>
    <w:rsid w:val="00985175"/>
    <w:pPr>
      <w:ind w:left="720"/>
      <w:contextualSpacing/>
    </w:pPr>
  </w:style>
  <w:style w:type="paragraph" w:styleId="Sprechblasentext">
    <w:name w:val="Balloon Text"/>
    <w:basedOn w:val="Standard"/>
    <w:link w:val="SprechblasentextZchn"/>
    <w:uiPriority w:val="99"/>
    <w:semiHidden/>
    <w:unhideWhenUsed/>
    <w:rsid w:val="00C942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2A8"/>
    <w:rPr>
      <w:rFonts w:ascii="Segoe UI" w:hAnsi="Segoe UI" w:cs="Segoe UI"/>
      <w:sz w:val="18"/>
      <w:szCs w:val="18"/>
    </w:rPr>
  </w:style>
  <w:style w:type="character" w:styleId="Kommentarzeichen">
    <w:name w:val="annotation reference"/>
    <w:basedOn w:val="Absatz-Standardschriftart"/>
    <w:uiPriority w:val="99"/>
    <w:semiHidden/>
    <w:unhideWhenUsed/>
    <w:rsid w:val="009F456B"/>
    <w:rPr>
      <w:sz w:val="16"/>
      <w:szCs w:val="16"/>
    </w:rPr>
  </w:style>
  <w:style w:type="paragraph" w:styleId="Kommentartext">
    <w:name w:val="annotation text"/>
    <w:basedOn w:val="Standard"/>
    <w:link w:val="KommentartextZchn"/>
    <w:uiPriority w:val="99"/>
    <w:semiHidden/>
    <w:unhideWhenUsed/>
    <w:rsid w:val="009F456B"/>
    <w:rPr>
      <w:sz w:val="20"/>
      <w:szCs w:val="20"/>
    </w:rPr>
  </w:style>
  <w:style w:type="character" w:customStyle="1" w:styleId="KommentartextZchn">
    <w:name w:val="Kommentartext Zchn"/>
    <w:basedOn w:val="Absatz-Standardschriftart"/>
    <w:link w:val="Kommentartext"/>
    <w:uiPriority w:val="99"/>
    <w:semiHidden/>
    <w:rsid w:val="009F456B"/>
    <w:rPr>
      <w:rFonts w:cs="Verdana"/>
      <w:sz w:val="20"/>
      <w:szCs w:val="20"/>
    </w:rPr>
  </w:style>
  <w:style w:type="paragraph" w:styleId="Kommentarthema">
    <w:name w:val="annotation subject"/>
    <w:basedOn w:val="Kommentartext"/>
    <w:next w:val="Kommentartext"/>
    <w:link w:val="KommentarthemaZchn"/>
    <w:uiPriority w:val="99"/>
    <w:semiHidden/>
    <w:unhideWhenUsed/>
    <w:rsid w:val="009F456B"/>
    <w:rPr>
      <w:b/>
      <w:bCs/>
    </w:rPr>
  </w:style>
  <w:style w:type="character" w:customStyle="1" w:styleId="KommentarthemaZchn">
    <w:name w:val="Kommentarthema Zchn"/>
    <w:basedOn w:val="KommentartextZchn"/>
    <w:link w:val="Kommentarthema"/>
    <w:uiPriority w:val="99"/>
    <w:semiHidden/>
    <w:rsid w:val="009F456B"/>
    <w:rPr>
      <w:rFonts w:cs="Verdana"/>
      <w:b/>
      <w:bCs/>
      <w:sz w:val="20"/>
      <w:szCs w:val="20"/>
    </w:rPr>
  </w:style>
  <w:style w:type="paragraph" w:styleId="StandardWeb">
    <w:name w:val="Normal (Web)"/>
    <w:basedOn w:val="Standard"/>
    <w:uiPriority w:val="99"/>
    <w:semiHidden/>
    <w:unhideWhenUsed/>
    <w:rsid w:val="003A482E"/>
    <w:pPr>
      <w:spacing w:before="100" w:beforeAutospacing="1" w:after="100" w:afterAutospacing="1"/>
    </w:pPr>
    <w:rPr>
      <w:rFonts w:ascii="Times New Roman" w:eastAsia="Times New Roman" w:hAnsi="Times New Roman" w:cs="Times New Roman"/>
      <w:sz w:val="24"/>
      <w:szCs w:val="24"/>
      <w:lang w:val="de-DE" w:eastAsia="de-DE"/>
    </w:rPr>
  </w:style>
  <w:style w:type="paragraph" w:styleId="berarbeitung">
    <w:name w:val="Revision"/>
    <w:hidden/>
    <w:uiPriority w:val="99"/>
    <w:semiHidden/>
    <w:rsid w:val="00F97BE4"/>
    <w:rPr>
      <w:rFonts w:cs="Verdana"/>
      <w:sz w:val="22"/>
      <w:szCs w:val="22"/>
    </w:rPr>
  </w:style>
  <w:style w:type="character" w:styleId="Hyperlink">
    <w:name w:val="Hyperlink"/>
    <w:basedOn w:val="Absatz-Standardschriftart"/>
    <w:uiPriority w:val="99"/>
    <w:semiHidden/>
    <w:unhideWhenUsed/>
    <w:rsid w:val="004743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95858">
      <w:bodyDiv w:val="1"/>
      <w:marLeft w:val="0"/>
      <w:marRight w:val="0"/>
      <w:marTop w:val="0"/>
      <w:marBottom w:val="0"/>
      <w:divBdr>
        <w:top w:val="none" w:sz="0" w:space="0" w:color="auto"/>
        <w:left w:val="none" w:sz="0" w:space="0" w:color="auto"/>
        <w:bottom w:val="none" w:sz="0" w:space="0" w:color="auto"/>
        <w:right w:val="none" w:sz="0" w:space="0" w:color="auto"/>
      </w:divBdr>
    </w:div>
    <w:div w:id="173765086">
      <w:bodyDiv w:val="1"/>
      <w:marLeft w:val="0"/>
      <w:marRight w:val="0"/>
      <w:marTop w:val="0"/>
      <w:marBottom w:val="0"/>
      <w:divBdr>
        <w:top w:val="none" w:sz="0" w:space="0" w:color="auto"/>
        <w:left w:val="none" w:sz="0" w:space="0" w:color="auto"/>
        <w:bottom w:val="none" w:sz="0" w:space="0" w:color="auto"/>
        <w:right w:val="none" w:sz="0" w:space="0" w:color="auto"/>
      </w:divBdr>
    </w:div>
    <w:div w:id="510266315">
      <w:bodyDiv w:val="1"/>
      <w:marLeft w:val="0"/>
      <w:marRight w:val="0"/>
      <w:marTop w:val="0"/>
      <w:marBottom w:val="0"/>
      <w:divBdr>
        <w:top w:val="none" w:sz="0" w:space="0" w:color="auto"/>
        <w:left w:val="none" w:sz="0" w:space="0" w:color="auto"/>
        <w:bottom w:val="none" w:sz="0" w:space="0" w:color="auto"/>
        <w:right w:val="none" w:sz="0" w:space="0" w:color="auto"/>
      </w:divBdr>
    </w:div>
    <w:div w:id="1514758488">
      <w:bodyDiv w:val="1"/>
      <w:marLeft w:val="0"/>
      <w:marRight w:val="0"/>
      <w:marTop w:val="0"/>
      <w:marBottom w:val="0"/>
      <w:divBdr>
        <w:top w:val="none" w:sz="0" w:space="0" w:color="auto"/>
        <w:left w:val="none" w:sz="0" w:space="0" w:color="auto"/>
        <w:bottom w:val="none" w:sz="0" w:space="0" w:color="auto"/>
        <w:right w:val="none" w:sz="0" w:space="0" w:color="auto"/>
      </w:divBdr>
      <w:divsChild>
        <w:div w:id="559899971">
          <w:marLeft w:val="0"/>
          <w:marRight w:val="0"/>
          <w:marTop w:val="0"/>
          <w:marBottom w:val="0"/>
          <w:divBdr>
            <w:top w:val="none" w:sz="0" w:space="0" w:color="auto"/>
            <w:left w:val="none" w:sz="0" w:space="0" w:color="auto"/>
            <w:bottom w:val="none" w:sz="0" w:space="0" w:color="auto"/>
            <w:right w:val="none" w:sz="0" w:space="0" w:color="auto"/>
          </w:divBdr>
        </w:div>
      </w:divsChild>
    </w:div>
    <w:div w:id="1838109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5" Type="http://schemas.openxmlformats.org/officeDocument/2006/relationships/image" Target="media/image13.emf"/><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5" Type="http://schemas.openxmlformats.org/officeDocument/2006/relationships/image" Target="media/image13.emf"/><Relationship Id="rId4"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cha\Dropbox\2017%20pressGATE\DMG%20MORI%20Vorlagen\PM%20Vorlage%20UK%2020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648EB-BE1D-42E9-B234-27BF7EBE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UK 2017.dotx</Template>
  <TotalTime>0</TotalTime>
  <Pages>9</Pages>
  <Words>1677</Words>
  <Characters>10572</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D.</dc:creator>
  <cp:keywords/>
  <dc:description/>
  <cp:lastModifiedBy>Manzenreiter Eva</cp:lastModifiedBy>
  <cp:revision>4</cp:revision>
  <cp:lastPrinted>2020-09-29T12:01:00Z</cp:lastPrinted>
  <dcterms:created xsi:type="dcterms:W3CDTF">2022-12-21T11:36:00Z</dcterms:created>
  <dcterms:modified xsi:type="dcterms:W3CDTF">2022-12-22T11:02:00Z</dcterms:modified>
</cp:coreProperties>
</file>